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087C" w14:textId="77777777" w:rsidR="00D556FA" w:rsidRPr="004C6F93" w:rsidRDefault="00D556FA" w:rsidP="00D556FA">
      <w:pPr>
        <w:pStyle w:val="paragraph"/>
        <w:spacing w:before="0" w:beforeAutospacing="0" w:after="0" w:afterAutospacing="0"/>
        <w:jc w:val="right"/>
        <w:textAlignment w:val="baseline"/>
        <w:rPr>
          <w:rFonts w:ascii="Calibri" w:hAnsi="Calibri" w:cs="Calibri"/>
          <w:sz w:val="28"/>
          <w:szCs w:val="28"/>
        </w:rPr>
      </w:pPr>
      <w:r w:rsidRPr="004C6F93">
        <w:rPr>
          <w:rStyle w:val="normaltextrun"/>
          <w:rFonts w:ascii="Calibri" w:hAnsi="Calibri" w:cs="Calibri"/>
          <w:b/>
          <w:bCs/>
          <w:sz w:val="28"/>
          <w:szCs w:val="28"/>
        </w:rPr>
        <w:t>Tuition</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and Fee</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Advisory Board of</w:t>
      </w:r>
      <w:r w:rsidRPr="004C6F93">
        <w:rPr>
          <w:rStyle w:val="apple-converted-space"/>
          <w:rFonts w:ascii="Calibri" w:hAnsi="Calibri" w:cs="Calibri"/>
          <w:b/>
          <w:bCs/>
          <w:sz w:val="28"/>
          <w:szCs w:val="28"/>
        </w:rPr>
        <w:t> </w:t>
      </w:r>
      <w:r w:rsidRPr="004C6F93">
        <w:rPr>
          <w:rStyle w:val="normaltextrun"/>
          <w:rFonts w:ascii="Calibri" w:hAnsi="Calibri" w:cs="Calibri"/>
          <w:b/>
          <w:bCs/>
          <w:sz w:val="28"/>
          <w:szCs w:val="28"/>
        </w:rPr>
        <w:t>the University of Oregon</w:t>
      </w:r>
      <w:r w:rsidRPr="004C6F93">
        <w:rPr>
          <w:rStyle w:val="eop"/>
          <w:rFonts w:ascii="Calibri" w:hAnsi="Calibri" w:cs="Calibri"/>
          <w:sz w:val="28"/>
          <w:szCs w:val="28"/>
        </w:rPr>
        <w:t> </w:t>
      </w:r>
    </w:p>
    <w:p w14:paraId="45A76AF7" w14:textId="6211B9AA" w:rsidR="00D556FA" w:rsidRPr="004C6F93" w:rsidRDefault="00D556FA" w:rsidP="00D556FA">
      <w:pPr>
        <w:pStyle w:val="paragraph"/>
        <w:pBdr>
          <w:bottom w:val="single" w:sz="6" w:space="1" w:color="auto"/>
        </w:pBdr>
        <w:spacing w:before="0" w:beforeAutospacing="0" w:after="0" w:afterAutospacing="0"/>
        <w:jc w:val="right"/>
        <w:textAlignment w:val="baseline"/>
        <w:rPr>
          <w:rStyle w:val="eop"/>
          <w:rFonts w:ascii="Calibri" w:hAnsi="Calibri" w:cs="Calibri"/>
          <w:sz w:val="28"/>
          <w:szCs w:val="28"/>
        </w:rPr>
      </w:pPr>
      <w:r w:rsidRPr="004C6F93">
        <w:rPr>
          <w:rStyle w:val="normaltextrun"/>
          <w:rFonts w:ascii="Calibri" w:hAnsi="Calibri" w:cs="Calibri"/>
          <w:b/>
          <w:bCs/>
          <w:sz w:val="28"/>
          <w:szCs w:val="28"/>
        </w:rPr>
        <w:t xml:space="preserve">Meeting Summary | </w:t>
      </w:r>
      <w:r w:rsidR="006F13A1">
        <w:rPr>
          <w:rStyle w:val="normaltextrun"/>
          <w:rFonts w:ascii="Calibri" w:hAnsi="Calibri" w:cs="Calibri"/>
          <w:b/>
          <w:bCs/>
          <w:sz w:val="28"/>
          <w:szCs w:val="28"/>
        </w:rPr>
        <w:t xml:space="preserve">February </w:t>
      </w:r>
      <w:r w:rsidR="00B6318F">
        <w:rPr>
          <w:rStyle w:val="normaltextrun"/>
          <w:rFonts w:ascii="Calibri" w:hAnsi="Calibri" w:cs="Calibri"/>
          <w:b/>
          <w:bCs/>
          <w:sz w:val="28"/>
          <w:szCs w:val="28"/>
        </w:rPr>
        <w:t>6</w:t>
      </w:r>
      <w:r w:rsidRPr="004C6F93">
        <w:rPr>
          <w:rStyle w:val="normaltextrun"/>
          <w:rFonts w:ascii="Calibri" w:hAnsi="Calibri" w:cs="Calibri"/>
          <w:b/>
          <w:bCs/>
          <w:sz w:val="28"/>
          <w:szCs w:val="28"/>
        </w:rPr>
        <w:t>, 202</w:t>
      </w:r>
      <w:r w:rsidR="006209ED">
        <w:rPr>
          <w:rStyle w:val="normaltextrun"/>
          <w:rFonts w:ascii="Calibri" w:hAnsi="Calibri" w:cs="Calibri"/>
          <w:b/>
          <w:bCs/>
          <w:sz w:val="28"/>
          <w:szCs w:val="28"/>
        </w:rPr>
        <w:t>6</w:t>
      </w:r>
      <w:r w:rsidRPr="004C6F93">
        <w:rPr>
          <w:rStyle w:val="eop"/>
          <w:rFonts w:ascii="Calibri" w:hAnsi="Calibri" w:cs="Calibri"/>
          <w:sz w:val="28"/>
          <w:szCs w:val="28"/>
        </w:rPr>
        <w:t> </w:t>
      </w:r>
    </w:p>
    <w:p w14:paraId="42BF718D" w14:textId="77777777" w:rsidR="00D556FA" w:rsidRPr="00DB59C0" w:rsidRDefault="00D556FA" w:rsidP="00D556FA">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536EEA44" w14:textId="40C78CE1" w:rsidR="002D220A" w:rsidRDefault="00D556FA" w:rsidP="00C76F83">
      <w:pPr>
        <w:rPr>
          <w:rFonts w:ascii="Calibri" w:eastAsia="Calibri" w:hAnsi="Calibri" w:cs="Calibri"/>
          <w:bCs/>
          <w:sz w:val="24"/>
          <w:szCs w:val="24"/>
        </w:rPr>
      </w:pPr>
      <w:r w:rsidRPr="008879F4">
        <w:rPr>
          <w:rFonts w:ascii="Calibri" w:eastAsia="Calibri" w:hAnsi="Calibri" w:cs="Calibri"/>
          <w:bCs/>
          <w:sz w:val="24"/>
          <w:szCs w:val="24"/>
        </w:rPr>
        <w:t>The 202</w:t>
      </w:r>
      <w:r w:rsidR="00C76F83">
        <w:rPr>
          <w:rFonts w:ascii="Calibri" w:eastAsia="Calibri" w:hAnsi="Calibri" w:cs="Calibri"/>
          <w:bCs/>
          <w:sz w:val="24"/>
          <w:szCs w:val="24"/>
        </w:rPr>
        <w:t>5</w:t>
      </w:r>
      <w:r w:rsidRPr="008879F4">
        <w:rPr>
          <w:rFonts w:ascii="Calibri" w:eastAsia="Calibri" w:hAnsi="Calibri" w:cs="Calibri"/>
          <w:bCs/>
          <w:sz w:val="24"/>
          <w:szCs w:val="24"/>
        </w:rPr>
        <w:t>–202</w:t>
      </w:r>
      <w:r w:rsidR="00C76F83">
        <w:rPr>
          <w:rFonts w:ascii="Calibri" w:eastAsia="Calibri" w:hAnsi="Calibri" w:cs="Calibri"/>
          <w:bCs/>
          <w:sz w:val="24"/>
          <w:szCs w:val="24"/>
        </w:rPr>
        <w:t>6</w:t>
      </w:r>
      <w:r w:rsidRPr="008879F4">
        <w:rPr>
          <w:rFonts w:ascii="Calibri" w:eastAsia="Calibri" w:hAnsi="Calibri" w:cs="Calibri"/>
          <w:bCs/>
          <w:sz w:val="24"/>
          <w:szCs w:val="24"/>
        </w:rPr>
        <w:t xml:space="preserve"> Tuition and Fee Advisory Board (TFAB) of the University of Oregon met in room </w:t>
      </w:r>
      <w:r w:rsidR="006F13A1">
        <w:rPr>
          <w:rFonts w:ascii="Calibri" w:eastAsia="Calibri" w:hAnsi="Calibri" w:cs="Calibri"/>
          <w:bCs/>
          <w:sz w:val="24"/>
          <w:szCs w:val="24"/>
        </w:rPr>
        <w:t>10</w:t>
      </w:r>
      <w:r w:rsidR="002969E6">
        <w:rPr>
          <w:rFonts w:ascii="Calibri" w:eastAsia="Calibri" w:hAnsi="Calibri" w:cs="Calibri"/>
          <w:bCs/>
          <w:sz w:val="24"/>
          <w:szCs w:val="24"/>
        </w:rPr>
        <w:t>7</w:t>
      </w:r>
      <w:r w:rsidR="00476D73">
        <w:rPr>
          <w:rFonts w:ascii="Calibri" w:eastAsia="Calibri" w:hAnsi="Calibri" w:cs="Calibri"/>
          <w:bCs/>
          <w:sz w:val="24"/>
          <w:szCs w:val="24"/>
        </w:rPr>
        <w:t xml:space="preserve"> </w:t>
      </w:r>
      <w:r w:rsidRPr="008879F4">
        <w:rPr>
          <w:rFonts w:ascii="Calibri" w:eastAsia="Calibri" w:hAnsi="Calibri" w:cs="Calibri"/>
          <w:bCs/>
          <w:sz w:val="24"/>
          <w:szCs w:val="24"/>
        </w:rPr>
        <w:t>of</w:t>
      </w:r>
      <w:r w:rsidR="002D1152">
        <w:rPr>
          <w:rFonts w:ascii="Calibri" w:eastAsia="Calibri" w:hAnsi="Calibri" w:cs="Calibri"/>
          <w:bCs/>
          <w:sz w:val="24"/>
          <w:szCs w:val="24"/>
        </w:rPr>
        <w:t xml:space="preserve"> </w:t>
      </w:r>
      <w:r w:rsidR="006F13A1">
        <w:rPr>
          <w:rFonts w:ascii="Calibri" w:eastAsia="Calibri" w:hAnsi="Calibri" w:cs="Calibri"/>
          <w:bCs/>
          <w:sz w:val="24"/>
          <w:szCs w:val="24"/>
        </w:rPr>
        <w:t xml:space="preserve">the Erb Memorial Union (EMU) </w:t>
      </w:r>
      <w:r w:rsidRPr="008879F4">
        <w:rPr>
          <w:rFonts w:ascii="Calibri" w:eastAsia="Calibri" w:hAnsi="Calibri" w:cs="Calibri"/>
          <w:bCs/>
          <w:sz w:val="24"/>
          <w:szCs w:val="24"/>
        </w:rPr>
        <w:t>at</w:t>
      </w:r>
      <w:r w:rsidR="00E1003E">
        <w:rPr>
          <w:rFonts w:ascii="Calibri" w:eastAsia="Calibri" w:hAnsi="Calibri" w:cs="Calibri"/>
          <w:bCs/>
          <w:sz w:val="24"/>
          <w:szCs w:val="24"/>
        </w:rPr>
        <w:t xml:space="preserve"> </w:t>
      </w:r>
      <w:r w:rsidR="00F80D46">
        <w:rPr>
          <w:rFonts w:ascii="Calibri" w:eastAsia="Calibri" w:hAnsi="Calibri" w:cs="Calibri"/>
          <w:bCs/>
          <w:sz w:val="24"/>
          <w:szCs w:val="24"/>
        </w:rPr>
        <w:t>11</w:t>
      </w:r>
      <w:r w:rsidR="00CB6081">
        <w:rPr>
          <w:rFonts w:ascii="Calibri" w:eastAsia="Calibri" w:hAnsi="Calibri" w:cs="Calibri"/>
          <w:bCs/>
          <w:sz w:val="24"/>
          <w:szCs w:val="24"/>
        </w:rPr>
        <w:t>:</w:t>
      </w:r>
      <w:r w:rsidR="002D1152">
        <w:rPr>
          <w:rFonts w:ascii="Calibri" w:eastAsia="Calibri" w:hAnsi="Calibri" w:cs="Calibri"/>
          <w:bCs/>
          <w:sz w:val="24"/>
          <w:szCs w:val="24"/>
        </w:rPr>
        <w:t>00</w:t>
      </w:r>
      <w:r w:rsidR="00CB6081">
        <w:rPr>
          <w:rFonts w:ascii="Calibri" w:eastAsia="Calibri" w:hAnsi="Calibri" w:cs="Calibri"/>
          <w:bCs/>
          <w:sz w:val="24"/>
          <w:szCs w:val="24"/>
        </w:rPr>
        <w:t xml:space="preserve"> </w:t>
      </w:r>
      <w:r w:rsidR="006F13A1">
        <w:rPr>
          <w:rFonts w:ascii="Calibri" w:eastAsia="Calibri" w:hAnsi="Calibri" w:cs="Calibri"/>
          <w:bCs/>
          <w:sz w:val="24"/>
          <w:szCs w:val="24"/>
        </w:rPr>
        <w:t>a</w:t>
      </w:r>
      <w:r w:rsidRPr="008879F4">
        <w:rPr>
          <w:rFonts w:ascii="Calibri" w:eastAsia="Calibri" w:hAnsi="Calibri" w:cs="Calibri"/>
          <w:bCs/>
          <w:sz w:val="24"/>
          <w:szCs w:val="24"/>
        </w:rPr>
        <w:t>.m</w:t>
      </w:r>
      <w:r w:rsidRPr="00630A08">
        <w:rPr>
          <w:rFonts w:ascii="Calibri" w:eastAsia="Calibri" w:hAnsi="Calibri" w:cs="Calibri"/>
          <w:bCs/>
          <w:sz w:val="24"/>
          <w:szCs w:val="24"/>
        </w:rPr>
        <w:t xml:space="preserve">. on </w:t>
      </w:r>
      <w:r w:rsidR="00B6318F">
        <w:rPr>
          <w:rFonts w:ascii="Calibri" w:eastAsia="Calibri" w:hAnsi="Calibri" w:cs="Calibri"/>
          <w:bCs/>
          <w:sz w:val="24"/>
          <w:szCs w:val="24"/>
        </w:rPr>
        <w:t>Friday</w:t>
      </w:r>
      <w:r w:rsidRPr="00630A08">
        <w:rPr>
          <w:rFonts w:ascii="Calibri" w:eastAsia="Calibri" w:hAnsi="Calibri" w:cs="Calibri"/>
          <w:bCs/>
          <w:sz w:val="24"/>
          <w:szCs w:val="24"/>
        </w:rPr>
        <w:t>,</w:t>
      </w:r>
      <w:r w:rsidR="00116424" w:rsidRPr="00630A08">
        <w:rPr>
          <w:rFonts w:ascii="Calibri" w:eastAsia="Calibri" w:hAnsi="Calibri" w:cs="Calibri"/>
          <w:bCs/>
          <w:sz w:val="24"/>
          <w:szCs w:val="24"/>
        </w:rPr>
        <w:t xml:space="preserve"> </w:t>
      </w:r>
      <w:r w:rsidR="006F13A1">
        <w:rPr>
          <w:rFonts w:ascii="Calibri" w:eastAsia="Calibri" w:hAnsi="Calibri" w:cs="Calibri"/>
          <w:bCs/>
          <w:sz w:val="24"/>
          <w:szCs w:val="24"/>
        </w:rPr>
        <w:t xml:space="preserve">February </w:t>
      </w:r>
      <w:r w:rsidR="00B6318F">
        <w:rPr>
          <w:rFonts w:ascii="Calibri" w:eastAsia="Calibri" w:hAnsi="Calibri" w:cs="Calibri"/>
          <w:bCs/>
          <w:sz w:val="24"/>
          <w:szCs w:val="24"/>
        </w:rPr>
        <w:t>6</w:t>
      </w:r>
      <w:r w:rsidRPr="00630A08">
        <w:rPr>
          <w:rFonts w:ascii="Calibri" w:eastAsia="Calibri" w:hAnsi="Calibri" w:cs="Calibri"/>
          <w:bCs/>
          <w:sz w:val="24"/>
          <w:szCs w:val="24"/>
        </w:rPr>
        <w:t>, 202</w:t>
      </w:r>
      <w:r w:rsidR="006209ED">
        <w:rPr>
          <w:rFonts w:ascii="Calibri" w:eastAsia="Calibri" w:hAnsi="Calibri" w:cs="Calibri"/>
          <w:bCs/>
          <w:sz w:val="24"/>
          <w:szCs w:val="24"/>
        </w:rPr>
        <w:t>6</w:t>
      </w:r>
      <w:r w:rsidRPr="00630A08">
        <w:rPr>
          <w:rFonts w:ascii="Calibri" w:eastAsia="Calibri" w:hAnsi="Calibri" w:cs="Calibri"/>
          <w:bCs/>
          <w:sz w:val="24"/>
          <w:szCs w:val="24"/>
        </w:rPr>
        <w:t xml:space="preserve">. </w:t>
      </w:r>
      <w:r w:rsidR="00E1003E" w:rsidRPr="00630A08">
        <w:rPr>
          <w:rFonts w:ascii="Calibri" w:eastAsia="Calibri" w:hAnsi="Calibri" w:cs="Calibri"/>
          <w:bCs/>
          <w:sz w:val="24"/>
          <w:szCs w:val="24"/>
        </w:rPr>
        <w:t xml:space="preserve">A remote option to participate was made available; </w:t>
      </w:r>
      <w:r w:rsidR="00B6318F">
        <w:rPr>
          <w:rFonts w:ascii="Calibri" w:eastAsia="Calibri" w:hAnsi="Calibri" w:cs="Calibri"/>
          <w:bCs/>
          <w:sz w:val="24"/>
          <w:szCs w:val="24"/>
        </w:rPr>
        <w:t>two</w:t>
      </w:r>
      <w:r w:rsidR="002969E6">
        <w:rPr>
          <w:rFonts w:ascii="Calibri" w:eastAsia="Calibri" w:hAnsi="Calibri" w:cs="Calibri"/>
          <w:bCs/>
          <w:sz w:val="24"/>
          <w:szCs w:val="24"/>
        </w:rPr>
        <w:t xml:space="preserve"> </w:t>
      </w:r>
      <w:r w:rsidR="002D220A">
        <w:rPr>
          <w:rFonts w:ascii="Calibri" w:eastAsia="Calibri" w:hAnsi="Calibri" w:cs="Calibri"/>
          <w:bCs/>
          <w:sz w:val="24"/>
          <w:szCs w:val="24"/>
        </w:rPr>
        <w:t>TFAB member</w:t>
      </w:r>
      <w:r w:rsidR="00B6318F">
        <w:rPr>
          <w:rFonts w:ascii="Calibri" w:eastAsia="Calibri" w:hAnsi="Calibri" w:cs="Calibri"/>
          <w:bCs/>
          <w:sz w:val="24"/>
          <w:szCs w:val="24"/>
        </w:rPr>
        <w:t>s</w:t>
      </w:r>
      <w:r w:rsidR="002D220A">
        <w:rPr>
          <w:rFonts w:ascii="Calibri" w:eastAsia="Calibri" w:hAnsi="Calibri" w:cs="Calibri"/>
          <w:bCs/>
          <w:sz w:val="24"/>
          <w:szCs w:val="24"/>
        </w:rPr>
        <w:t xml:space="preserve"> participated in the meeting remotely.</w:t>
      </w:r>
    </w:p>
    <w:p w14:paraId="4031A813" w14:textId="04EA3EC8" w:rsidR="00D556FA" w:rsidRPr="000A1C36" w:rsidRDefault="00D556FA" w:rsidP="00C76F83">
      <w:pPr>
        <w:rPr>
          <w:rFonts w:ascii="Calibri" w:eastAsia="Calibri" w:hAnsi="Calibri" w:cs="Calibri"/>
          <w:bCs/>
          <w:sz w:val="24"/>
          <w:szCs w:val="24"/>
        </w:rPr>
      </w:pPr>
      <w:r w:rsidRPr="00630A08">
        <w:rPr>
          <w:rFonts w:ascii="Calibri" w:eastAsia="Calibri" w:hAnsi="Calibri" w:cs="Calibri"/>
          <w:bCs/>
          <w:sz w:val="24"/>
          <w:szCs w:val="24"/>
        </w:rPr>
        <w:t>Below is a s</w:t>
      </w:r>
      <w:r w:rsidRPr="003F1533">
        <w:rPr>
          <w:rFonts w:ascii="Calibri" w:eastAsia="Calibri" w:hAnsi="Calibri" w:cs="Calibri"/>
          <w:bCs/>
          <w:sz w:val="24"/>
          <w:szCs w:val="24"/>
        </w:rPr>
        <w:t xml:space="preserve">ummary of the meeting; documents discussed during the session are </w:t>
      </w:r>
      <w:r w:rsidRPr="000A1C36">
        <w:rPr>
          <w:rFonts w:ascii="Calibri" w:eastAsia="Calibri" w:hAnsi="Calibri" w:cs="Calibri"/>
          <w:bCs/>
          <w:sz w:val="24"/>
          <w:szCs w:val="24"/>
        </w:rPr>
        <w:t xml:space="preserve">available </w:t>
      </w:r>
      <w:hyperlink r:id="rId8" w:anchor="Feb5" w:history="1">
        <w:r w:rsidRPr="000A1C36">
          <w:rPr>
            <w:rStyle w:val="Hyperlink"/>
            <w:rFonts w:ascii="Calibri" w:eastAsia="Calibri" w:hAnsi="Calibri" w:cs="Calibri"/>
            <w:bCs/>
            <w:sz w:val="24"/>
            <w:szCs w:val="24"/>
          </w:rPr>
          <w:t>online</w:t>
        </w:r>
      </w:hyperlink>
      <w:r w:rsidRPr="000A1C36">
        <w:rPr>
          <w:rFonts w:ascii="Calibri" w:eastAsia="Calibri" w:hAnsi="Calibri" w:cs="Calibri"/>
          <w:bCs/>
          <w:sz w:val="24"/>
          <w:szCs w:val="24"/>
        </w:rPr>
        <w:t>.</w:t>
      </w:r>
    </w:p>
    <w:p w14:paraId="36E9E958" w14:textId="6146184C" w:rsidR="00F80D46" w:rsidRDefault="00D556FA" w:rsidP="00282BB3">
      <w:pPr>
        <w:rPr>
          <w:rFonts w:ascii="Calibri" w:eastAsia="Times New Roman" w:hAnsi="Calibri" w:cs="Calibri"/>
          <w:color w:val="000000"/>
          <w:sz w:val="24"/>
          <w:szCs w:val="24"/>
        </w:rPr>
      </w:pPr>
      <w:r w:rsidRPr="000A1C36">
        <w:rPr>
          <w:rFonts w:cs="Times New Roman"/>
          <w:b/>
          <w:sz w:val="24"/>
          <w:szCs w:val="24"/>
        </w:rPr>
        <w:t>Attending</w:t>
      </w:r>
      <w:r w:rsidRPr="00F47C25">
        <w:rPr>
          <w:rFonts w:cs="Times New Roman"/>
          <w:sz w:val="24"/>
          <w:szCs w:val="24"/>
        </w:rPr>
        <w:t xml:space="preserve">: </w:t>
      </w:r>
      <w:r w:rsidR="00F80D46" w:rsidRPr="00F47C25">
        <w:rPr>
          <w:rFonts w:ascii="Calibri" w:eastAsia="Times New Roman" w:hAnsi="Calibri" w:cs="Calibri"/>
          <w:color w:val="000000"/>
          <w:sz w:val="24"/>
          <w:szCs w:val="24"/>
        </w:rPr>
        <w:t>Melynn Bates, Justin Begley, Krista Borg, Erica Bornstein (online), Paul Busapavanich, Anna Clark (guest), Maram Epstein, Brian Fox, Marina Guenza, Heather Gustafson, Blair Hickok (online), Melanie Jackson, Angela Lauer Chong (co-chair), David Mitrovčan Morgan (guest), Jamie Moffitt (co-chair), JP Monroe, Adrian Elisheva Parr Zaretsky, Daphne Patrick, Hal Sadofsky, Grant Schoonover, Ben Young (guest)</w:t>
      </w:r>
    </w:p>
    <w:p w14:paraId="0E18C982" w14:textId="77777777" w:rsidR="002F62D2" w:rsidRPr="000A1C36" w:rsidRDefault="002F62D2" w:rsidP="002F62D2">
      <w:pPr>
        <w:rPr>
          <w:rFonts w:ascii="Calibri" w:eastAsia="Calibri" w:hAnsi="Calibri" w:cs="Calibri"/>
          <w:sz w:val="24"/>
          <w:szCs w:val="24"/>
        </w:rPr>
      </w:pPr>
      <w:r w:rsidRPr="000A1C36">
        <w:rPr>
          <w:rFonts w:cs="Times New Roman"/>
          <w:b/>
          <w:sz w:val="24"/>
          <w:szCs w:val="24"/>
        </w:rPr>
        <w:t>Staff</w:t>
      </w:r>
      <w:r w:rsidRPr="000A1C36">
        <w:rPr>
          <w:rFonts w:cs="Times New Roman"/>
          <w:sz w:val="24"/>
          <w:szCs w:val="24"/>
        </w:rPr>
        <w:t xml:space="preserve">: Debbie Sharp (Office of the </w:t>
      </w:r>
      <w:r>
        <w:rPr>
          <w:rFonts w:cs="Times New Roman"/>
          <w:sz w:val="24"/>
          <w:szCs w:val="24"/>
        </w:rPr>
        <w:t>S</w:t>
      </w:r>
      <w:r w:rsidRPr="000A1C36">
        <w:rPr>
          <w:rFonts w:cs="Times New Roman"/>
          <w:sz w:val="24"/>
          <w:szCs w:val="24"/>
        </w:rPr>
        <w:t>enior VPFA).</w:t>
      </w:r>
    </w:p>
    <w:p w14:paraId="0CD360C4" w14:textId="77777777" w:rsidR="00BF5BB2" w:rsidRDefault="00BF5BB2" w:rsidP="00BF5BB2">
      <w:pPr>
        <w:rPr>
          <w:rFonts w:ascii="Calibri" w:eastAsia="Calibri" w:hAnsi="Calibri" w:cs="Calibri"/>
          <w:sz w:val="24"/>
          <w:szCs w:val="24"/>
        </w:rPr>
      </w:pPr>
      <w:r w:rsidRPr="000A1C36">
        <w:rPr>
          <w:rFonts w:ascii="Calibri" w:eastAsia="Calibri" w:hAnsi="Calibri" w:cs="Calibri"/>
          <w:b/>
          <w:sz w:val="24"/>
          <w:szCs w:val="24"/>
        </w:rPr>
        <w:t>Introductions</w:t>
      </w:r>
      <w:r w:rsidRPr="000A1C36">
        <w:rPr>
          <w:rFonts w:ascii="Calibri" w:eastAsia="Calibri" w:hAnsi="Calibri" w:cs="Calibri"/>
          <w:bCs/>
          <w:sz w:val="24"/>
          <w:szCs w:val="24"/>
        </w:rPr>
        <w:t xml:space="preserve">. Co-chair Jamie Moffitt, vice president for finance and administration and CFO, </w:t>
      </w:r>
      <w:r w:rsidRPr="000A1C36">
        <w:rPr>
          <w:rFonts w:ascii="Calibri" w:eastAsia="Calibri" w:hAnsi="Calibri" w:cs="Calibri"/>
          <w:sz w:val="24"/>
          <w:szCs w:val="24"/>
        </w:rPr>
        <w:t xml:space="preserve">welcomed the group and asked </w:t>
      </w:r>
      <w:r>
        <w:rPr>
          <w:rFonts w:ascii="Calibri" w:eastAsia="Calibri" w:hAnsi="Calibri" w:cs="Calibri"/>
          <w:sz w:val="24"/>
          <w:szCs w:val="24"/>
        </w:rPr>
        <w:t xml:space="preserve">meeting </w:t>
      </w:r>
      <w:r w:rsidRPr="000A1C36">
        <w:rPr>
          <w:rFonts w:ascii="Calibri" w:eastAsia="Calibri" w:hAnsi="Calibri" w:cs="Calibri"/>
          <w:sz w:val="24"/>
          <w:szCs w:val="24"/>
        </w:rPr>
        <w:t>participants to introduce themselves.</w:t>
      </w:r>
      <w:r>
        <w:rPr>
          <w:rFonts w:ascii="Calibri" w:eastAsia="Calibri" w:hAnsi="Calibri" w:cs="Calibri"/>
          <w:sz w:val="24"/>
          <w:szCs w:val="24"/>
        </w:rPr>
        <w:t xml:space="preserve"> </w:t>
      </w:r>
    </w:p>
    <w:p w14:paraId="7ABE6C12" w14:textId="594E1708" w:rsidR="00BF5BB2" w:rsidRDefault="00BF5BB2" w:rsidP="00BF5BB2">
      <w:pPr>
        <w:rPr>
          <w:rFonts w:ascii="Calibri" w:eastAsia="Calibri" w:hAnsi="Calibri" w:cs="Calibri"/>
          <w:bCs/>
          <w:sz w:val="24"/>
          <w:szCs w:val="24"/>
        </w:rPr>
      </w:pPr>
      <w:r>
        <w:rPr>
          <w:rFonts w:ascii="Calibri" w:eastAsia="Calibri" w:hAnsi="Calibri" w:cs="Calibri"/>
          <w:b/>
          <w:sz w:val="24"/>
          <w:szCs w:val="24"/>
        </w:rPr>
        <w:t>Undergraduate tuition</w:t>
      </w:r>
      <w:r>
        <w:rPr>
          <w:rFonts w:ascii="Calibri" w:eastAsia="Calibri" w:hAnsi="Calibri" w:cs="Calibri"/>
          <w:bCs/>
          <w:sz w:val="24"/>
          <w:szCs w:val="24"/>
        </w:rPr>
        <w:t xml:space="preserve">. Co-chair Moffitt shared information on year-over-year nonresident tuition and fee increases between 2022 and 2026. This table of information is available </w:t>
      </w:r>
      <w:hyperlink r:id="rId9" w:history="1">
        <w:r w:rsidRPr="00BF5BB2">
          <w:rPr>
            <w:rStyle w:val="Hyperlink"/>
            <w:rFonts w:ascii="Calibri" w:eastAsia="Calibri" w:hAnsi="Calibri" w:cs="Calibri"/>
            <w:bCs/>
            <w:sz w:val="24"/>
            <w:szCs w:val="24"/>
          </w:rPr>
          <w:t>online</w:t>
        </w:r>
      </w:hyperlink>
      <w:r>
        <w:rPr>
          <w:rFonts w:ascii="Calibri" w:eastAsia="Calibri" w:hAnsi="Calibri" w:cs="Calibri"/>
          <w:bCs/>
          <w:sz w:val="24"/>
          <w:szCs w:val="24"/>
        </w:rPr>
        <w:t xml:space="preserve">. The group discussed nonresident tuition and fees increases made by the University of Oregon compared to </w:t>
      </w:r>
      <w:r w:rsidR="00B52AF0">
        <w:rPr>
          <w:rFonts w:ascii="Calibri" w:eastAsia="Calibri" w:hAnsi="Calibri" w:cs="Calibri"/>
          <w:bCs/>
          <w:sz w:val="24"/>
          <w:szCs w:val="24"/>
        </w:rPr>
        <w:t>i</w:t>
      </w:r>
      <w:r w:rsidR="001B7BB4">
        <w:rPr>
          <w:rFonts w:ascii="Calibri" w:eastAsia="Calibri" w:hAnsi="Calibri" w:cs="Calibri"/>
          <w:bCs/>
          <w:sz w:val="24"/>
          <w:szCs w:val="24"/>
        </w:rPr>
        <w:t xml:space="preserve">ncreases made by </w:t>
      </w:r>
      <w:r w:rsidR="000739D0">
        <w:rPr>
          <w:rFonts w:ascii="Calibri" w:eastAsia="Calibri" w:hAnsi="Calibri" w:cs="Calibri"/>
          <w:bCs/>
          <w:sz w:val="24"/>
          <w:szCs w:val="24"/>
        </w:rPr>
        <w:t xml:space="preserve">a short list of specific Public AAU institutions </w:t>
      </w:r>
      <w:r w:rsidR="00ED2FFA">
        <w:rPr>
          <w:rFonts w:ascii="Calibri" w:eastAsia="Calibri" w:hAnsi="Calibri" w:cs="Calibri"/>
          <w:bCs/>
          <w:sz w:val="24"/>
          <w:szCs w:val="24"/>
        </w:rPr>
        <w:t>with whom UO often directly competes for students.</w:t>
      </w:r>
    </w:p>
    <w:p w14:paraId="67349EC6" w14:textId="56201A8F" w:rsidR="000C6FF5" w:rsidRDefault="00BF5BB2" w:rsidP="00282BB3">
      <w:pPr>
        <w:rPr>
          <w:rFonts w:ascii="Calibri" w:eastAsia="Times New Roman" w:hAnsi="Calibri" w:cs="Calibri"/>
          <w:color w:val="000000"/>
          <w:sz w:val="24"/>
          <w:szCs w:val="24"/>
        </w:rPr>
      </w:pPr>
      <w:r>
        <w:rPr>
          <w:rFonts w:ascii="Calibri" w:eastAsia="Times New Roman" w:hAnsi="Calibri" w:cs="Calibri"/>
          <w:color w:val="000000"/>
          <w:sz w:val="24"/>
          <w:szCs w:val="24"/>
        </w:rPr>
        <w:t>The group discussed a variety of topic</w:t>
      </w:r>
      <w:r w:rsidR="000C6FF5">
        <w:rPr>
          <w:rFonts w:ascii="Calibri" w:eastAsia="Times New Roman" w:hAnsi="Calibri" w:cs="Calibri"/>
          <w:color w:val="000000"/>
          <w:sz w:val="24"/>
          <w:szCs w:val="24"/>
        </w:rPr>
        <w:t>s</w:t>
      </w:r>
      <w:r>
        <w:rPr>
          <w:rFonts w:ascii="Calibri" w:eastAsia="Times New Roman" w:hAnsi="Calibri" w:cs="Calibri"/>
          <w:color w:val="000000"/>
          <w:sz w:val="24"/>
          <w:szCs w:val="24"/>
        </w:rPr>
        <w:t xml:space="preserve"> related to undergraduate tuition, including the year-over-year nonresident tuition and fee increa</w:t>
      </w:r>
      <w:r w:rsidR="000C6FF5">
        <w:rPr>
          <w:rFonts w:ascii="Calibri" w:eastAsia="Times New Roman" w:hAnsi="Calibri" w:cs="Calibri"/>
          <w:color w:val="000000"/>
          <w:sz w:val="24"/>
          <w:szCs w:val="24"/>
        </w:rPr>
        <w:t>s</w:t>
      </w:r>
      <w:r>
        <w:rPr>
          <w:rFonts w:ascii="Calibri" w:eastAsia="Times New Roman" w:hAnsi="Calibri" w:cs="Calibri"/>
          <w:color w:val="000000"/>
          <w:sz w:val="24"/>
          <w:szCs w:val="24"/>
        </w:rPr>
        <w:t xml:space="preserve">es, the idea of a tuition plateau, </w:t>
      </w:r>
      <w:r w:rsidR="000C6FF5">
        <w:rPr>
          <w:rFonts w:ascii="Calibri" w:eastAsia="Times New Roman" w:hAnsi="Calibri" w:cs="Calibri"/>
          <w:color w:val="000000"/>
          <w:sz w:val="24"/>
          <w:szCs w:val="24"/>
        </w:rPr>
        <w:t>comparisons of gross tuition levels between the UO and other schools, and the current federal landscape for international students in higher education. The group considered the potential impact of a high nonresident tuition rate on recruitment of students from other states and other countries, noting the importance of communicating information on available scholarships and financial aid packages.</w:t>
      </w:r>
    </w:p>
    <w:p w14:paraId="2BE6AE29" w14:textId="23D67EFA" w:rsidR="000C6FF5" w:rsidRDefault="000C6FF5" w:rsidP="00282BB3">
      <w:pPr>
        <w:rPr>
          <w:rFonts w:ascii="Calibri" w:eastAsia="Calibri" w:hAnsi="Calibri" w:cs="Calibri"/>
          <w:sz w:val="24"/>
          <w:szCs w:val="24"/>
        </w:rPr>
      </w:pPr>
      <w:r w:rsidRPr="0035152C">
        <w:rPr>
          <w:rFonts w:ascii="Calibri" w:eastAsia="Calibri" w:hAnsi="Calibri" w:cs="Calibri"/>
          <w:sz w:val="24"/>
          <w:szCs w:val="24"/>
        </w:rPr>
        <w:t>Brian Fox, associate vice president of</w:t>
      </w:r>
      <w:r>
        <w:rPr>
          <w:rFonts w:ascii="Calibri" w:eastAsia="Calibri" w:hAnsi="Calibri" w:cs="Calibri"/>
          <w:sz w:val="24"/>
          <w:szCs w:val="24"/>
        </w:rPr>
        <w:t xml:space="preserve"> budget, financial analysis and data analytics, used the tuition calculator with the group to consider a considerable number of scenarios, adjusting assumptions for enrollment of resident, nonresident, and international students, while </w:t>
      </w:r>
      <w:r w:rsidR="00444C8B">
        <w:rPr>
          <w:rFonts w:ascii="Calibri" w:eastAsia="Calibri" w:hAnsi="Calibri" w:cs="Calibri"/>
          <w:sz w:val="24"/>
          <w:szCs w:val="24"/>
        </w:rPr>
        <w:t xml:space="preserve">using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rates of increase for resident and nonresident tuition in FY27.</w:t>
      </w:r>
    </w:p>
    <w:p w14:paraId="3E6F9EC2" w14:textId="76D1F3F7" w:rsidR="004B023B" w:rsidRDefault="000C6FF5" w:rsidP="001148D9">
      <w:pPr>
        <w:rPr>
          <w:rFonts w:ascii="Calibri" w:eastAsia="Times New Roman" w:hAnsi="Calibri" w:cs="Calibri"/>
          <w:color w:val="000000"/>
          <w:sz w:val="24"/>
          <w:szCs w:val="24"/>
        </w:rPr>
      </w:pPr>
      <w:r>
        <w:rPr>
          <w:rFonts w:ascii="Calibri" w:eastAsia="Times New Roman" w:hAnsi="Calibri" w:cs="Calibri"/>
          <w:color w:val="000000"/>
          <w:sz w:val="24"/>
          <w:szCs w:val="24"/>
        </w:rPr>
        <w:t xml:space="preserve">The group discussed the long-term impact of locked tuition rates within the tuition guarantee, the potential for more students transferring to the UO, </w:t>
      </w:r>
      <w:r w:rsidR="004B023B">
        <w:rPr>
          <w:rFonts w:ascii="Calibri" w:eastAsia="Times New Roman" w:hAnsi="Calibri" w:cs="Calibri"/>
          <w:color w:val="000000"/>
          <w:sz w:val="24"/>
          <w:szCs w:val="24"/>
        </w:rPr>
        <w:t xml:space="preserve">and how to better showcase the academic programs and research on campus to attract undergraduates and graduate students to the UO.  The group </w:t>
      </w:r>
      <w:r w:rsidR="007C60FE">
        <w:rPr>
          <w:rFonts w:ascii="Calibri" w:eastAsia="Times New Roman" w:hAnsi="Calibri" w:cs="Calibri"/>
          <w:color w:val="000000"/>
          <w:sz w:val="24"/>
          <w:szCs w:val="24"/>
        </w:rPr>
        <w:t xml:space="preserve">discussed </w:t>
      </w:r>
      <w:proofErr w:type="gramStart"/>
      <w:r w:rsidR="004B023B">
        <w:rPr>
          <w:rFonts w:ascii="Calibri" w:eastAsia="Times New Roman" w:hAnsi="Calibri" w:cs="Calibri"/>
          <w:color w:val="000000"/>
          <w:sz w:val="24"/>
          <w:szCs w:val="24"/>
        </w:rPr>
        <w:t>a number of</w:t>
      </w:r>
      <w:proofErr w:type="gramEnd"/>
      <w:r w:rsidR="004B023B">
        <w:rPr>
          <w:rFonts w:ascii="Calibri" w:eastAsia="Times New Roman" w:hAnsi="Calibri" w:cs="Calibri"/>
          <w:color w:val="000000"/>
          <w:sz w:val="24"/>
          <w:szCs w:val="24"/>
        </w:rPr>
        <w:t xml:space="preserve"> different factors that students may consider when selecting schools, including the attractiveness of a campus, athletic achievements, housing and amenities, high-quality research, and programs to support non-traditional students. They also noted that many universities across the country, and particularly those in Oregon, are facing challenging budget pressures. </w:t>
      </w:r>
    </w:p>
    <w:p w14:paraId="6DD431E6" w14:textId="77777777" w:rsidR="004B023B" w:rsidRDefault="004B023B" w:rsidP="004B023B">
      <w:pPr>
        <w:spacing w:line="240" w:lineRule="auto"/>
        <w:rPr>
          <w:bCs/>
          <w:sz w:val="24"/>
          <w:szCs w:val="24"/>
        </w:rPr>
      </w:pPr>
      <w:r>
        <w:rPr>
          <w:bCs/>
          <w:sz w:val="24"/>
          <w:szCs w:val="24"/>
        </w:rPr>
        <w:t>The group’s final recommendations to the president will be available in the TFAB memo.</w:t>
      </w:r>
    </w:p>
    <w:p w14:paraId="5CB484B3" w14:textId="32011781" w:rsidR="004B023B" w:rsidRDefault="004B023B" w:rsidP="001148D9">
      <w:pPr>
        <w:rPr>
          <w:rFonts w:ascii="Calibri" w:eastAsia="Times New Roman" w:hAnsi="Calibri" w:cs="Calibri"/>
          <w:color w:val="000000"/>
          <w:sz w:val="24"/>
          <w:szCs w:val="24"/>
        </w:rPr>
      </w:pPr>
      <w:r w:rsidRPr="004B023B">
        <w:rPr>
          <w:rFonts w:ascii="Calibri" w:eastAsia="Times New Roman" w:hAnsi="Calibri" w:cs="Calibri"/>
          <w:b/>
          <w:bCs/>
          <w:color w:val="000000"/>
          <w:sz w:val="24"/>
          <w:szCs w:val="24"/>
        </w:rPr>
        <w:lastRenderedPageBreak/>
        <w:t xml:space="preserve">Matriculation fee and Honors College </w:t>
      </w:r>
      <w:r>
        <w:rPr>
          <w:rFonts w:ascii="Calibri" w:eastAsia="Times New Roman" w:hAnsi="Calibri" w:cs="Calibri"/>
          <w:b/>
          <w:bCs/>
          <w:color w:val="000000"/>
          <w:sz w:val="24"/>
          <w:szCs w:val="24"/>
        </w:rPr>
        <w:t>d</w:t>
      </w:r>
      <w:r w:rsidRPr="004B023B">
        <w:rPr>
          <w:rFonts w:ascii="Calibri" w:eastAsia="Times New Roman" w:hAnsi="Calibri" w:cs="Calibri"/>
          <w:b/>
          <w:bCs/>
          <w:color w:val="000000"/>
          <w:sz w:val="24"/>
          <w:szCs w:val="24"/>
        </w:rPr>
        <w:t>ifferential</w:t>
      </w:r>
      <w:r>
        <w:rPr>
          <w:rFonts w:ascii="Calibri" w:eastAsia="Times New Roman" w:hAnsi="Calibri" w:cs="Calibri"/>
          <w:b/>
          <w:bCs/>
          <w:color w:val="000000"/>
          <w:sz w:val="24"/>
          <w:szCs w:val="24"/>
        </w:rPr>
        <w:t xml:space="preserve"> tuition</w:t>
      </w:r>
      <w:r>
        <w:rPr>
          <w:rFonts w:ascii="Calibri" w:eastAsia="Times New Roman" w:hAnsi="Calibri" w:cs="Calibri"/>
          <w:color w:val="000000"/>
          <w:sz w:val="24"/>
          <w:szCs w:val="24"/>
        </w:rPr>
        <w:t>. Co-chair Moffitt explained that the matriculation fee is a one-time fee charged to newly admitted students upon enrollment. She noted that historically, this fee has been raised at the same rate as the increase to the undergraduate resident tuition rate. Moffitt explained that the differential tuition paid by Clark Honors College students has</w:t>
      </w:r>
      <w:r w:rsidR="003B6AE4">
        <w:rPr>
          <w:rFonts w:ascii="Calibri" w:eastAsia="Times New Roman" w:hAnsi="Calibri" w:cs="Calibri"/>
          <w:color w:val="000000"/>
          <w:sz w:val="24"/>
          <w:szCs w:val="24"/>
        </w:rPr>
        <w:t xml:space="preserve"> </w:t>
      </w:r>
      <w:proofErr w:type="gramStart"/>
      <w:r w:rsidR="007C60FE">
        <w:rPr>
          <w:rFonts w:ascii="Calibri" w:eastAsia="Times New Roman" w:hAnsi="Calibri" w:cs="Calibri"/>
          <w:color w:val="000000"/>
          <w:sz w:val="24"/>
          <w:szCs w:val="24"/>
        </w:rPr>
        <w:t>his</w:t>
      </w:r>
      <w:r w:rsidR="003B6AE4">
        <w:rPr>
          <w:rFonts w:ascii="Calibri" w:eastAsia="Times New Roman" w:hAnsi="Calibri" w:cs="Calibri"/>
          <w:color w:val="000000"/>
          <w:sz w:val="24"/>
          <w:szCs w:val="24"/>
        </w:rPr>
        <w:t>torically</w:t>
      </w:r>
      <w:r>
        <w:rPr>
          <w:rFonts w:ascii="Calibri" w:eastAsia="Times New Roman" w:hAnsi="Calibri" w:cs="Calibri"/>
          <w:color w:val="000000"/>
          <w:sz w:val="24"/>
          <w:szCs w:val="24"/>
        </w:rPr>
        <w:t xml:space="preserve"> also</w:t>
      </w:r>
      <w:proofErr w:type="gramEnd"/>
      <w:r>
        <w:rPr>
          <w:rFonts w:ascii="Calibri" w:eastAsia="Times New Roman" w:hAnsi="Calibri" w:cs="Calibri"/>
          <w:color w:val="000000"/>
          <w:sz w:val="24"/>
          <w:szCs w:val="24"/>
        </w:rPr>
        <w:t xml:space="preserve"> increased at the same rate as the increase to the resident tuition rate, noting that this year, the college is proposing only a 1.0% increase to </w:t>
      </w:r>
      <w:r w:rsidR="00626F9E">
        <w:rPr>
          <w:rFonts w:ascii="Calibri" w:eastAsia="Times New Roman" w:hAnsi="Calibri" w:cs="Calibri"/>
          <w:color w:val="000000"/>
          <w:sz w:val="24"/>
          <w:szCs w:val="24"/>
        </w:rPr>
        <w:t>keep the differential tuition as low as possible.</w:t>
      </w:r>
    </w:p>
    <w:p w14:paraId="155FE6EA" w14:textId="77777777" w:rsidR="00626F9E" w:rsidRDefault="00626F9E" w:rsidP="001A5771">
      <w:pPr>
        <w:rPr>
          <w:rFonts w:ascii="Calibri" w:eastAsia="Times New Roman" w:hAnsi="Calibri" w:cs="Calibri"/>
          <w:color w:val="000000"/>
          <w:sz w:val="24"/>
          <w:szCs w:val="24"/>
        </w:rPr>
      </w:pPr>
      <w:r>
        <w:rPr>
          <w:rFonts w:ascii="Calibri" w:eastAsia="Times New Roman" w:hAnsi="Calibri" w:cs="Calibri"/>
          <w:color w:val="000000"/>
          <w:sz w:val="24"/>
          <w:szCs w:val="24"/>
        </w:rPr>
        <w:t>Moffitt thanked the Tuition and Fee Advisory Board members for their work during fall and winter terms, noting that the recommendations process took a long time and was particularly thorough.</w:t>
      </w:r>
    </w:p>
    <w:p w14:paraId="428CF1BE" w14:textId="25A3B4B5" w:rsidR="00C53DA1" w:rsidRPr="00626F9E" w:rsidRDefault="002F62D2" w:rsidP="00282BB3">
      <w:pPr>
        <w:rPr>
          <w:rFonts w:ascii="Calibri" w:eastAsia="Calibri" w:hAnsi="Calibri" w:cs="Calibri"/>
          <w:sz w:val="24"/>
          <w:szCs w:val="24"/>
        </w:rPr>
      </w:pPr>
      <w:r w:rsidRPr="000F44D5">
        <w:rPr>
          <w:b/>
          <w:sz w:val="24"/>
          <w:szCs w:val="24"/>
        </w:rPr>
        <w:t>Adjournment</w:t>
      </w:r>
      <w:r w:rsidRPr="000F44D5">
        <w:rPr>
          <w:sz w:val="24"/>
          <w:szCs w:val="24"/>
        </w:rPr>
        <w:t xml:space="preserve">. </w:t>
      </w:r>
      <w:r w:rsidRPr="000F44D5">
        <w:rPr>
          <w:rFonts w:ascii="Calibri" w:eastAsia="Calibri" w:hAnsi="Calibri" w:cs="Calibri"/>
          <w:sz w:val="24"/>
          <w:szCs w:val="24"/>
        </w:rPr>
        <w:t xml:space="preserve">The meeting adjourned at </w:t>
      </w:r>
      <w:r>
        <w:rPr>
          <w:rFonts w:ascii="Calibri" w:eastAsia="Calibri" w:hAnsi="Calibri" w:cs="Calibri"/>
          <w:sz w:val="24"/>
          <w:szCs w:val="24"/>
        </w:rPr>
        <w:t>12</w:t>
      </w:r>
      <w:r w:rsidRPr="000F44D5">
        <w:rPr>
          <w:rFonts w:ascii="Calibri" w:eastAsia="Calibri" w:hAnsi="Calibri" w:cs="Calibri"/>
          <w:sz w:val="24"/>
          <w:szCs w:val="24"/>
        </w:rPr>
        <w:t>:</w:t>
      </w:r>
      <w:r>
        <w:rPr>
          <w:rFonts w:ascii="Calibri" w:eastAsia="Calibri" w:hAnsi="Calibri" w:cs="Calibri"/>
          <w:sz w:val="24"/>
          <w:szCs w:val="24"/>
        </w:rPr>
        <w:t>21</w:t>
      </w:r>
      <w:r w:rsidRPr="000F44D5">
        <w:rPr>
          <w:rFonts w:ascii="Calibri" w:eastAsia="Calibri" w:hAnsi="Calibri" w:cs="Calibri"/>
          <w:sz w:val="24"/>
          <w:szCs w:val="24"/>
        </w:rPr>
        <w:t xml:space="preserve"> </w:t>
      </w:r>
      <w:r>
        <w:rPr>
          <w:rFonts w:ascii="Calibri" w:eastAsia="Calibri" w:hAnsi="Calibri" w:cs="Calibri"/>
          <w:sz w:val="24"/>
          <w:szCs w:val="24"/>
        </w:rPr>
        <w:t>p</w:t>
      </w:r>
      <w:r w:rsidRPr="000F44D5">
        <w:rPr>
          <w:rFonts w:ascii="Calibri" w:eastAsia="Calibri" w:hAnsi="Calibri" w:cs="Calibri"/>
          <w:sz w:val="24"/>
          <w:szCs w:val="24"/>
        </w:rPr>
        <w:t>.m.</w:t>
      </w:r>
    </w:p>
    <w:sectPr w:rsidR="00C53DA1" w:rsidRPr="00626F9E" w:rsidSect="00B52AF0">
      <w:footerReference w:type="default" r:id="rId10"/>
      <w:pgSz w:w="12240" w:h="15840"/>
      <w:pgMar w:top="990" w:right="900" w:bottom="126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6860" w14:textId="77777777" w:rsidR="00A47484" w:rsidRDefault="00A47484" w:rsidP="008879F4">
      <w:pPr>
        <w:spacing w:after="0" w:line="240" w:lineRule="auto"/>
      </w:pPr>
      <w:r>
        <w:separator/>
      </w:r>
    </w:p>
  </w:endnote>
  <w:endnote w:type="continuationSeparator" w:id="0">
    <w:p w14:paraId="52DED44B" w14:textId="77777777" w:rsidR="00A47484" w:rsidRDefault="00A47484" w:rsidP="0088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9257"/>
      <w:docPartObj>
        <w:docPartGallery w:val="Page Numbers (Bottom of Page)"/>
        <w:docPartUnique/>
      </w:docPartObj>
    </w:sdtPr>
    <w:sdtEndPr/>
    <w:sdtContent>
      <w:sdt>
        <w:sdtPr>
          <w:id w:val="-1769616900"/>
          <w:docPartObj>
            <w:docPartGallery w:val="Page Numbers (Top of Page)"/>
            <w:docPartUnique/>
          </w:docPartObj>
        </w:sdtPr>
        <w:sdtEndPr/>
        <w:sdtContent>
          <w:p w14:paraId="234DE244" w14:textId="77777777" w:rsidR="004C6F93" w:rsidRDefault="004C6F93">
            <w:pPr>
              <w:pStyle w:val="Footer"/>
              <w:jc w:val="right"/>
            </w:pPr>
          </w:p>
          <w:p w14:paraId="3042F3FF" w14:textId="50834713" w:rsidR="008879F4" w:rsidRDefault="00887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7F8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7F87">
              <w:rPr>
                <w:b/>
                <w:bCs/>
                <w:noProof/>
              </w:rPr>
              <w:t>2</w:t>
            </w:r>
            <w:r>
              <w:rPr>
                <w:b/>
                <w:bCs/>
                <w:sz w:val="24"/>
                <w:szCs w:val="24"/>
              </w:rPr>
              <w:fldChar w:fldCharType="end"/>
            </w:r>
          </w:p>
        </w:sdtContent>
      </w:sdt>
    </w:sdtContent>
  </w:sdt>
  <w:p w14:paraId="1B097351" w14:textId="77777777" w:rsidR="008879F4" w:rsidRDefault="0088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A416" w14:textId="77777777" w:rsidR="00A47484" w:rsidRDefault="00A47484" w:rsidP="008879F4">
      <w:pPr>
        <w:spacing w:after="0" w:line="240" w:lineRule="auto"/>
      </w:pPr>
      <w:r>
        <w:separator/>
      </w:r>
    </w:p>
  </w:footnote>
  <w:footnote w:type="continuationSeparator" w:id="0">
    <w:p w14:paraId="03C88429" w14:textId="77777777" w:rsidR="00A47484" w:rsidRDefault="00A47484" w:rsidP="00887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689"/>
    <w:multiLevelType w:val="hybridMultilevel"/>
    <w:tmpl w:val="771280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100165"/>
    <w:multiLevelType w:val="hybridMultilevel"/>
    <w:tmpl w:val="D0644D9A"/>
    <w:lvl w:ilvl="0" w:tplc="3EEE88D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74F0E"/>
    <w:multiLevelType w:val="hybridMultilevel"/>
    <w:tmpl w:val="3D2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E5C84"/>
    <w:multiLevelType w:val="hybridMultilevel"/>
    <w:tmpl w:val="B58E9D74"/>
    <w:lvl w:ilvl="0" w:tplc="FD52EA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46B0"/>
    <w:multiLevelType w:val="hybridMultilevel"/>
    <w:tmpl w:val="C28272E8"/>
    <w:lvl w:ilvl="0" w:tplc="AF62E4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A23D0"/>
    <w:multiLevelType w:val="hybridMultilevel"/>
    <w:tmpl w:val="A34035DE"/>
    <w:lvl w:ilvl="0" w:tplc="74DC84E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17746"/>
    <w:multiLevelType w:val="hybridMultilevel"/>
    <w:tmpl w:val="F7E6B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34C70"/>
    <w:multiLevelType w:val="hybridMultilevel"/>
    <w:tmpl w:val="185E21A0"/>
    <w:lvl w:ilvl="0" w:tplc="2A22C4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42786"/>
    <w:multiLevelType w:val="hybridMultilevel"/>
    <w:tmpl w:val="388804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F957C3"/>
    <w:multiLevelType w:val="hybridMultilevel"/>
    <w:tmpl w:val="36EE92F6"/>
    <w:lvl w:ilvl="0" w:tplc="4D50611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44B03"/>
    <w:multiLevelType w:val="hybridMultilevel"/>
    <w:tmpl w:val="C778F91A"/>
    <w:lvl w:ilvl="0" w:tplc="46F23D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32CB7"/>
    <w:multiLevelType w:val="hybridMultilevel"/>
    <w:tmpl w:val="594E7C1C"/>
    <w:lvl w:ilvl="0" w:tplc="B9E624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44836"/>
    <w:multiLevelType w:val="hybridMultilevel"/>
    <w:tmpl w:val="A672CDB4"/>
    <w:lvl w:ilvl="0" w:tplc="8CA87E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F05AB"/>
    <w:multiLevelType w:val="hybridMultilevel"/>
    <w:tmpl w:val="845E8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365BB"/>
    <w:multiLevelType w:val="hybridMultilevel"/>
    <w:tmpl w:val="E0A01E7A"/>
    <w:lvl w:ilvl="0" w:tplc="77A0C862">
      <w:start w:val="2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61318"/>
    <w:multiLevelType w:val="hybridMultilevel"/>
    <w:tmpl w:val="6E18FF08"/>
    <w:lvl w:ilvl="0" w:tplc="2A22C4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B06FBE"/>
    <w:multiLevelType w:val="hybridMultilevel"/>
    <w:tmpl w:val="330C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F6661A"/>
    <w:multiLevelType w:val="hybridMultilevel"/>
    <w:tmpl w:val="8662F092"/>
    <w:lvl w:ilvl="0" w:tplc="AF62E4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B31CD"/>
    <w:multiLevelType w:val="hybridMultilevel"/>
    <w:tmpl w:val="A6966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012494">
    <w:abstractNumId w:val="11"/>
  </w:num>
  <w:num w:numId="2" w16cid:durableId="1441027469">
    <w:abstractNumId w:val="3"/>
  </w:num>
  <w:num w:numId="3" w16cid:durableId="1090736092">
    <w:abstractNumId w:val="16"/>
  </w:num>
  <w:num w:numId="4" w16cid:durableId="653146724">
    <w:abstractNumId w:val="0"/>
  </w:num>
  <w:num w:numId="5" w16cid:durableId="596401398">
    <w:abstractNumId w:val="7"/>
  </w:num>
  <w:num w:numId="6" w16cid:durableId="470905582">
    <w:abstractNumId w:val="15"/>
  </w:num>
  <w:num w:numId="7" w16cid:durableId="1818305452">
    <w:abstractNumId w:val="6"/>
  </w:num>
  <w:num w:numId="8" w16cid:durableId="1348601258">
    <w:abstractNumId w:val="2"/>
  </w:num>
  <w:num w:numId="9" w16cid:durableId="612975254">
    <w:abstractNumId w:val="12"/>
  </w:num>
  <w:num w:numId="10" w16cid:durableId="1604074106">
    <w:abstractNumId w:val="10"/>
  </w:num>
  <w:num w:numId="11" w16cid:durableId="930430973">
    <w:abstractNumId w:val="1"/>
  </w:num>
  <w:num w:numId="12" w16cid:durableId="1717508191">
    <w:abstractNumId w:val="5"/>
  </w:num>
  <w:num w:numId="13" w16cid:durableId="791747793">
    <w:abstractNumId w:val="13"/>
  </w:num>
  <w:num w:numId="14" w16cid:durableId="1283609963">
    <w:abstractNumId w:val="14"/>
  </w:num>
  <w:num w:numId="15" w16cid:durableId="1193810286">
    <w:abstractNumId w:val="4"/>
  </w:num>
  <w:num w:numId="16" w16cid:durableId="830751961">
    <w:abstractNumId w:val="17"/>
  </w:num>
  <w:num w:numId="17" w16cid:durableId="97336257">
    <w:abstractNumId w:val="8"/>
  </w:num>
  <w:num w:numId="18" w16cid:durableId="10227621">
    <w:abstractNumId w:val="18"/>
  </w:num>
  <w:num w:numId="19" w16cid:durableId="764106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D5"/>
    <w:rsid w:val="000003BA"/>
    <w:rsid w:val="00014DD0"/>
    <w:rsid w:val="00016698"/>
    <w:rsid w:val="00021C88"/>
    <w:rsid w:val="00022FF7"/>
    <w:rsid w:val="00033ADF"/>
    <w:rsid w:val="000347DD"/>
    <w:rsid w:val="00036F72"/>
    <w:rsid w:val="00046121"/>
    <w:rsid w:val="00060C80"/>
    <w:rsid w:val="00060E9D"/>
    <w:rsid w:val="00063A21"/>
    <w:rsid w:val="00070A16"/>
    <w:rsid w:val="000739D0"/>
    <w:rsid w:val="00074567"/>
    <w:rsid w:val="00086ADA"/>
    <w:rsid w:val="000A0289"/>
    <w:rsid w:val="000A19C6"/>
    <w:rsid w:val="000A1C36"/>
    <w:rsid w:val="000A3F84"/>
    <w:rsid w:val="000B0ACD"/>
    <w:rsid w:val="000B1ED5"/>
    <w:rsid w:val="000B70C9"/>
    <w:rsid w:val="000C241A"/>
    <w:rsid w:val="000C699E"/>
    <w:rsid w:val="000C6FF5"/>
    <w:rsid w:val="000D69E5"/>
    <w:rsid w:val="000E5644"/>
    <w:rsid w:val="000F44D5"/>
    <w:rsid w:val="000F5B90"/>
    <w:rsid w:val="000F658E"/>
    <w:rsid w:val="0010288C"/>
    <w:rsid w:val="00106598"/>
    <w:rsid w:val="00111F08"/>
    <w:rsid w:val="001143BC"/>
    <w:rsid w:val="001148D9"/>
    <w:rsid w:val="00115586"/>
    <w:rsid w:val="00116424"/>
    <w:rsid w:val="001174B0"/>
    <w:rsid w:val="00133B6B"/>
    <w:rsid w:val="00141249"/>
    <w:rsid w:val="001438FD"/>
    <w:rsid w:val="00144E67"/>
    <w:rsid w:val="00146FA9"/>
    <w:rsid w:val="00155B27"/>
    <w:rsid w:val="001656BF"/>
    <w:rsid w:val="00170CBE"/>
    <w:rsid w:val="00172409"/>
    <w:rsid w:val="0018643D"/>
    <w:rsid w:val="00190AFD"/>
    <w:rsid w:val="001948F5"/>
    <w:rsid w:val="001A20B3"/>
    <w:rsid w:val="001A5771"/>
    <w:rsid w:val="001A67D5"/>
    <w:rsid w:val="001B7BB4"/>
    <w:rsid w:val="001C0111"/>
    <w:rsid w:val="001D1FF6"/>
    <w:rsid w:val="001E253B"/>
    <w:rsid w:val="001E5E99"/>
    <w:rsid w:val="001F676A"/>
    <w:rsid w:val="001F6FDD"/>
    <w:rsid w:val="002041C1"/>
    <w:rsid w:val="00211528"/>
    <w:rsid w:val="00211B2F"/>
    <w:rsid w:val="00213757"/>
    <w:rsid w:val="002165E0"/>
    <w:rsid w:val="00216D4A"/>
    <w:rsid w:val="002241FF"/>
    <w:rsid w:val="00225492"/>
    <w:rsid w:val="00226D5B"/>
    <w:rsid w:val="00232373"/>
    <w:rsid w:val="002338F8"/>
    <w:rsid w:val="002349D8"/>
    <w:rsid w:val="002359DB"/>
    <w:rsid w:val="0024010E"/>
    <w:rsid w:val="0025580C"/>
    <w:rsid w:val="00257871"/>
    <w:rsid w:val="00262E99"/>
    <w:rsid w:val="00280369"/>
    <w:rsid w:val="00282BB3"/>
    <w:rsid w:val="002910EE"/>
    <w:rsid w:val="00291557"/>
    <w:rsid w:val="002923B0"/>
    <w:rsid w:val="00292ABD"/>
    <w:rsid w:val="00295295"/>
    <w:rsid w:val="002969E6"/>
    <w:rsid w:val="002A0147"/>
    <w:rsid w:val="002D1152"/>
    <w:rsid w:val="002D220A"/>
    <w:rsid w:val="002D5D77"/>
    <w:rsid w:val="002E3E95"/>
    <w:rsid w:val="002E4190"/>
    <w:rsid w:val="002F3508"/>
    <w:rsid w:val="002F3F14"/>
    <w:rsid w:val="002F62D2"/>
    <w:rsid w:val="002F6951"/>
    <w:rsid w:val="002F7BCB"/>
    <w:rsid w:val="003016AB"/>
    <w:rsid w:val="00301CFD"/>
    <w:rsid w:val="00301ECF"/>
    <w:rsid w:val="00306B18"/>
    <w:rsid w:val="00310855"/>
    <w:rsid w:val="00316E8D"/>
    <w:rsid w:val="00332A01"/>
    <w:rsid w:val="00333B1C"/>
    <w:rsid w:val="00343CC8"/>
    <w:rsid w:val="00346DC1"/>
    <w:rsid w:val="00353D21"/>
    <w:rsid w:val="0036232A"/>
    <w:rsid w:val="00363EDC"/>
    <w:rsid w:val="00364CCC"/>
    <w:rsid w:val="00366D85"/>
    <w:rsid w:val="00376CD5"/>
    <w:rsid w:val="0038014B"/>
    <w:rsid w:val="0038286E"/>
    <w:rsid w:val="00386102"/>
    <w:rsid w:val="00386C74"/>
    <w:rsid w:val="0039143F"/>
    <w:rsid w:val="0039330D"/>
    <w:rsid w:val="003A6140"/>
    <w:rsid w:val="003B3556"/>
    <w:rsid w:val="003B475A"/>
    <w:rsid w:val="003B6AE4"/>
    <w:rsid w:val="003B7E34"/>
    <w:rsid w:val="003C2F2A"/>
    <w:rsid w:val="003C6080"/>
    <w:rsid w:val="003D2218"/>
    <w:rsid w:val="003D4E7F"/>
    <w:rsid w:val="003E5940"/>
    <w:rsid w:val="003F1533"/>
    <w:rsid w:val="003F2987"/>
    <w:rsid w:val="003F3051"/>
    <w:rsid w:val="003F3941"/>
    <w:rsid w:val="004016DD"/>
    <w:rsid w:val="00404DD1"/>
    <w:rsid w:val="00411630"/>
    <w:rsid w:val="004128FC"/>
    <w:rsid w:val="00416150"/>
    <w:rsid w:val="004161B5"/>
    <w:rsid w:val="0042056F"/>
    <w:rsid w:val="00421257"/>
    <w:rsid w:val="004262A6"/>
    <w:rsid w:val="00444C8B"/>
    <w:rsid w:val="00450F99"/>
    <w:rsid w:val="00451688"/>
    <w:rsid w:val="004655B1"/>
    <w:rsid w:val="00476D73"/>
    <w:rsid w:val="0047766A"/>
    <w:rsid w:val="004900D8"/>
    <w:rsid w:val="00490482"/>
    <w:rsid w:val="00490E55"/>
    <w:rsid w:val="00491929"/>
    <w:rsid w:val="004923A4"/>
    <w:rsid w:val="004A0F65"/>
    <w:rsid w:val="004A3DFE"/>
    <w:rsid w:val="004B023B"/>
    <w:rsid w:val="004B6864"/>
    <w:rsid w:val="004C45F2"/>
    <w:rsid w:val="004C6F93"/>
    <w:rsid w:val="004D3C50"/>
    <w:rsid w:val="004E045E"/>
    <w:rsid w:val="004E0736"/>
    <w:rsid w:val="004E0920"/>
    <w:rsid w:val="004E2D8C"/>
    <w:rsid w:val="004E2F18"/>
    <w:rsid w:val="004E42CD"/>
    <w:rsid w:val="004E4BF6"/>
    <w:rsid w:val="004F3831"/>
    <w:rsid w:val="00502C4A"/>
    <w:rsid w:val="00507ACB"/>
    <w:rsid w:val="00516A81"/>
    <w:rsid w:val="00521BBE"/>
    <w:rsid w:val="005318B4"/>
    <w:rsid w:val="00546309"/>
    <w:rsid w:val="00555252"/>
    <w:rsid w:val="00557E39"/>
    <w:rsid w:val="00560566"/>
    <w:rsid w:val="005656D5"/>
    <w:rsid w:val="005772F6"/>
    <w:rsid w:val="0058642F"/>
    <w:rsid w:val="00590837"/>
    <w:rsid w:val="00596636"/>
    <w:rsid w:val="005A5AF5"/>
    <w:rsid w:val="005B21D3"/>
    <w:rsid w:val="005B3897"/>
    <w:rsid w:val="005B4144"/>
    <w:rsid w:val="005B5EDF"/>
    <w:rsid w:val="005C0E44"/>
    <w:rsid w:val="005C43D5"/>
    <w:rsid w:val="005D4D47"/>
    <w:rsid w:val="005E286C"/>
    <w:rsid w:val="005F2230"/>
    <w:rsid w:val="005F43E4"/>
    <w:rsid w:val="005F4F98"/>
    <w:rsid w:val="006003A6"/>
    <w:rsid w:val="006176CE"/>
    <w:rsid w:val="006209ED"/>
    <w:rsid w:val="00620D08"/>
    <w:rsid w:val="00626F9E"/>
    <w:rsid w:val="00630A08"/>
    <w:rsid w:val="0063692E"/>
    <w:rsid w:val="0064334F"/>
    <w:rsid w:val="0065002C"/>
    <w:rsid w:val="00653699"/>
    <w:rsid w:val="00657C4D"/>
    <w:rsid w:val="006755B1"/>
    <w:rsid w:val="0067623F"/>
    <w:rsid w:val="00677DF1"/>
    <w:rsid w:val="00682CFC"/>
    <w:rsid w:val="00686557"/>
    <w:rsid w:val="0069415E"/>
    <w:rsid w:val="006975B9"/>
    <w:rsid w:val="006A0231"/>
    <w:rsid w:val="006B1909"/>
    <w:rsid w:val="006B4A29"/>
    <w:rsid w:val="006B4B7A"/>
    <w:rsid w:val="006B4D02"/>
    <w:rsid w:val="006C1499"/>
    <w:rsid w:val="006C6263"/>
    <w:rsid w:val="006D5377"/>
    <w:rsid w:val="006D7FC9"/>
    <w:rsid w:val="006E288E"/>
    <w:rsid w:val="006E3A32"/>
    <w:rsid w:val="006E6211"/>
    <w:rsid w:val="006F0CE0"/>
    <w:rsid w:val="006F13A1"/>
    <w:rsid w:val="00702111"/>
    <w:rsid w:val="007042FB"/>
    <w:rsid w:val="00711C94"/>
    <w:rsid w:val="00712C49"/>
    <w:rsid w:val="007153DD"/>
    <w:rsid w:val="00724C69"/>
    <w:rsid w:val="007251BA"/>
    <w:rsid w:val="00734A01"/>
    <w:rsid w:val="0074229F"/>
    <w:rsid w:val="00743690"/>
    <w:rsid w:val="00746AC5"/>
    <w:rsid w:val="00751E85"/>
    <w:rsid w:val="00752671"/>
    <w:rsid w:val="00753F38"/>
    <w:rsid w:val="00761E3A"/>
    <w:rsid w:val="00762235"/>
    <w:rsid w:val="007631B5"/>
    <w:rsid w:val="00775D36"/>
    <w:rsid w:val="00780F13"/>
    <w:rsid w:val="0079744F"/>
    <w:rsid w:val="007A07BA"/>
    <w:rsid w:val="007A442F"/>
    <w:rsid w:val="007A4E7D"/>
    <w:rsid w:val="007A6E07"/>
    <w:rsid w:val="007B135F"/>
    <w:rsid w:val="007B1CD8"/>
    <w:rsid w:val="007B26D2"/>
    <w:rsid w:val="007B79B2"/>
    <w:rsid w:val="007C1A6D"/>
    <w:rsid w:val="007C60FE"/>
    <w:rsid w:val="007D1746"/>
    <w:rsid w:val="007D406B"/>
    <w:rsid w:val="007E4305"/>
    <w:rsid w:val="007F1069"/>
    <w:rsid w:val="007F123F"/>
    <w:rsid w:val="007F2B01"/>
    <w:rsid w:val="0080345C"/>
    <w:rsid w:val="00805A1D"/>
    <w:rsid w:val="0081415D"/>
    <w:rsid w:val="00816677"/>
    <w:rsid w:val="00817843"/>
    <w:rsid w:val="00845FA8"/>
    <w:rsid w:val="0085078C"/>
    <w:rsid w:val="00853092"/>
    <w:rsid w:val="008612DC"/>
    <w:rsid w:val="00864672"/>
    <w:rsid w:val="00872F16"/>
    <w:rsid w:val="008740C3"/>
    <w:rsid w:val="00882015"/>
    <w:rsid w:val="008879C9"/>
    <w:rsid w:val="008879F4"/>
    <w:rsid w:val="00887AF5"/>
    <w:rsid w:val="0089053E"/>
    <w:rsid w:val="008929E2"/>
    <w:rsid w:val="008940B2"/>
    <w:rsid w:val="00895DA9"/>
    <w:rsid w:val="008A6A46"/>
    <w:rsid w:val="008B5ADA"/>
    <w:rsid w:val="008B66AC"/>
    <w:rsid w:val="008C1798"/>
    <w:rsid w:val="008C1A37"/>
    <w:rsid w:val="008C7C94"/>
    <w:rsid w:val="008D1AE1"/>
    <w:rsid w:val="008D6604"/>
    <w:rsid w:val="008F5027"/>
    <w:rsid w:val="008F58BF"/>
    <w:rsid w:val="00910879"/>
    <w:rsid w:val="00911B78"/>
    <w:rsid w:val="00916DDD"/>
    <w:rsid w:val="00920BB7"/>
    <w:rsid w:val="00925BD6"/>
    <w:rsid w:val="00931A6B"/>
    <w:rsid w:val="009323BE"/>
    <w:rsid w:val="00933672"/>
    <w:rsid w:val="00935E1E"/>
    <w:rsid w:val="00935FC5"/>
    <w:rsid w:val="00942CBE"/>
    <w:rsid w:val="00944BFE"/>
    <w:rsid w:val="00944D7E"/>
    <w:rsid w:val="009452D3"/>
    <w:rsid w:val="0095425C"/>
    <w:rsid w:val="00955BEF"/>
    <w:rsid w:val="0096050D"/>
    <w:rsid w:val="009614CC"/>
    <w:rsid w:val="0096180A"/>
    <w:rsid w:val="00962D2F"/>
    <w:rsid w:val="00963BC3"/>
    <w:rsid w:val="00981DCE"/>
    <w:rsid w:val="00990824"/>
    <w:rsid w:val="0099197D"/>
    <w:rsid w:val="009A0512"/>
    <w:rsid w:val="009A1291"/>
    <w:rsid w:val="009A21FC"/>
    <w:rsid w:val="009A716A"/>
    <w:rsid w:val="009A7A94"/>
    <w:rsid w:val="009B12C7"/>
    <w:rsid w:val="009B2883"/>
    <w:rsid w:val="009C7CD8"/>
    <w:rsid w:val="009C7ECE"/>
    <w:rsid w:val="009E2672"/>
    <w:rsid w:val="009E41EC"/>
    <w:rsid w:val="009F1808"/>
    <w:rsid w:val="009F1DD5"/>
    <w:rsid w:val="009F3690"/>
    <w:rsid w:val="00A01BF0"/>
    <w:rsid w:val="00A0253D"/>
    <w:rsid w:val="00A04F74"/>
    <w:rsid w:val="00A06A3A"/>
    <w:rsid w:val="00A14B47"/>
    <w:rsid w:val="00A15F99"/>
    <w:rsid w:val="00A16A1D"/>
    <w:rsid w:val="00A1799D"/>
    <w:rsid w:val="00A222F6"/>
    <w:rsid w:val="00A238A3"/>
    <w:rsid w:val="00A33E93"/>
    <w:rsid w:val="00A371B8"/>
    <w:rsid w:val="00A47484"/>
    <w:rsid w:val="00A7009D"/>
    <w:rsid w:val="00A70BF3"/>
    <w:rsid w:val="00A70F69"/>
    <w:rsid w:val="00A738B9"/>
    <w:rsid w:val="00A91A8E"/>
    <w:rsid w:val="00A940D8"/>
    <w:rsid w:val="00A9518B"/>
    <w:rsid w:val="00AA329A"/>
    <w:rsid w:val="00AA4F42"/>
    <w:rsid w:val="00AA765D"/>
    <w:rsid w:val="00AB22F3"/>
    <w:rsid w:val="00AB5AF0"/>
    <w:rsid w:val="00AC0FE4"/>
    <w:rsid w:val="00AC2673"/>
    <w:rsid w:val="00AD13AF"/>
    <w:rsid w:val="00AD2655"/>
    <w:rsid w:val="00AE4ADA"/>
    <w:rsid w:val="00AE6A3A"/>
    <w:rsid w:val="00AE7E98"/>
    <w:rsid w:val="00AF3863"/>
    <w:rsid w:val="00AF6839"/>
    <w:rsid w:val="00B073FA"/>
    <w:rsid w:val="00B15C4A"/>
    <w:rsid w:val="00B17E9C"/>
    <w:rsid w:val="00B205ED"/>
    <w:rsid w:val="00B2730C"/>
    <w:rsid w:val="00B27612"/>
    <w:rsid w:val="00B36159"/>
    <w:rsid w:val="00B3742C"/>
    <w:rsid w:val="00B41958"/>
    <w:rsid w:val="00B51386"/>
    <w:rsid w:val="00B516EE"/>
    <w:rsid w:val="00B5280C"/>
    <w:rsid w:val="00B52AF0"/>
    <w:rsid w:val="00B52CC6"/>
    <w:rsid w:val="00B53B4B"/>
    <w:rsid w:val="00B576F5"/>
    <w:rsid w:val="00B57ADA"/>
    <w:rsid w:val="00B6299E"/>
    <w:rsid w:val="00B6318F"/>
    <w:rsid w:val="00B75EDF"/>
    <w:rsid w:val="00B850DF"/>
    <w:rsid w:val="00B862D6"/>
    <w:rsid w:val="00B87610"/>
    <w:rsid w:val="00B928F3"/>
    <w:rsid w:val="00B936FD"/>
    <w:rsid w:val="00BA0EDC"/>
    <w:rsid w:val="00BA24CA"/>
    <w:rsid w:val="00BA43F5"/>
    <w:rsid w:val="00BB0A79"/>
    <w:rsid w:val="00BB6A2D"/>
    <w:rsid w:val="00BC5F1B"/>
    <w:rsid w:val="00BC6278"/>
    <w:rsid w:val="00BF5BB2"/>
    <w:rsid w:val="00BF7E4F"/>
    <w:rsid w:val="00C003CA"/>
    <w:rsid w:val="00C03CC2"/>
    <w:rsid w:val="00C04B43"/>
    <w:rsid w:val="00C0630B"/>
    <w:rsid w:val="00C32914"/>
    <w:rsid w:val="00C44DEB"/>
    <w:rsid w:val="00C45ECB"/>
    <w:rsid w:val="00C50955"/>
    <w:rsid w:val="00C53DA1"/>
    <w:rsid w:val="00C6078B"/>
    <w:rsid w:val="00C6629B"/>
    <w:rsid w:val="00C717B0"/>
    <w:rsid w:val="00C71861"/>
    <w:rsid w:val="00C72A2A"/>
    <w:rsid w:val="00C7382F"/>
    <w:rsid w:val="00C76F83"/>
    <w:rsid w:val="00CA11EE"/>
    <w:rsid w:val="00CA6BB3"/>
    <w:rsid w:val="00CB292A"/>
    <w:rsid w:val="00CB5A86"/>
    <w:rsid w:val="00CB6081"/>
    <w:rsid w:val="00CB696D"/>
    <w:rsid w:val="00CC16EC"/>
    <w:rsid w:val="00CD0533"/>
    <w:rsid w:val="00CE545A"/>
    <w:rsid w:val="00CF63B6"/>
    <w:rsid w:val="00CF7F98"/>
    <w:rsid w:val="00D00844"/>
    <w:rsid w:val="00D1326E"/>
    <w:rsid w:val="00D13345"/>
    <w:rsid w:val="00D1588F"/>
    <w:rsid w:val="00D1698E"/>
    <w:rsid w:val="00D248DD"/>
    <w:rsid w:val="00D26A84"/>
    <w:rsid w:val="00D27EC0"/>
    <w:rsid w:val="00D31EEF"/>
    <w:rsid w:val="00D36962"/>
    <w:rsid w:val="00D456FE"/>
    <w:rsid w:val="00D458C1"/>
    <w:rsid w:val="00D52E0C"/>
    <w:rsid w:val="00D556FA"/>
    <w:rsid w:val="00D70F82"/>
    <w:rsid w:val="00D7617B"/>
    <w:rsid w:val="00D77461"/>
    <w:rsid w:val="00D83A39"/>
    <w:rsid w:val="00D86058"/>
    <w:rsid w:val="00D9038A"/>
    <w:rsid w:val="00DA33F6"/>
    <w:rsid w:val="00DA4C7F"/>
    <w:rsid w:val="00DA7590"/>
    <w:rsid w:val="00DB7DFB"/>
    <w:rsid w:val="00DC35F2"/>
    <w:rsid w:val="00DD0DCF"/>
    <w:rsid w:val="00DD1841"/>
    <w:rsid w:val="00DD39F7"/>
    <w:rsid w:val="00DD7A17"/>
    <w:rsid w:val="00DE2595"/>
    <w:rsid w:val="00DE2646"/>
    <w:rsid w:val="00DF0868"/>
    <w:rsid w:val="00E01321"/>
    <w:rsid w:val="00E1003E"/>
    <w:rsid w:val="00E12D77"/>
    <w:rsid w:val="00E20990"/>
    <w:rsid w:val="00E26396"/>
    <w:rsid w:val="00E3376B"/>
    <w:rsid w:val="00E5324B"/>
    <w:rsid w:val="00E56356"/>
    <w:rsid w:val="00E702B6"/>
    <w:rsid w:val="00E712DA"/>
    <w:rsid w:val="00E75908"/>
    <w:rsid w:val="00E87B51"/>
    <w:rsid w:val="00E91D29"/>
    <w:rsid w:val="00E93367"/>
    <w:rsid w:val="00EA61A9"/>
    <w:rsid w:val="00EB2C68"/>
    <w:rsid w:val="00EB38F8"/>
    <w:rsid w:val="00EB3D6B"/>
    <w:rsid w:val="00EB5342"/>
    <w:rsid w:val="00EC395F"/>
    <w:rsid w:val="00EC49AB"/>
    <w:rsid w:val="00ED05C2"/>
    <w:rsid w:val="00ED1AED"/>
    <w:rsid w:val="00ED2FFA"/>
    <w:rsid w:val="00EE3E88"/>
    <w:rsid w:val="00EE48F4"/>
    <w:rsid w:val="00EE57E4"/>
    <w:rsid w:val="00EF044F"/>
    <w:rsid w:val="00EF4385"/>
    <w:rsid w:val="00F0402C"/>
    <w:rsid w:val="00F06122"/>
    <w:rsid w:val="00F14DBC"/>
    <w:rsid w:val="00F234F3"/>
    <w:rsid w:val="00F25833"/>
    <w:rsid w:val="00F3297F"/>
    <w:rsid w:val="00F34214"/>
    <w:rsid w:val="00F4472A"/>
    <w:rsid w:val="00F44D28"/>
    <w:rsid w:val="00F47C25"/>
    <w:rsid w:val="00F47F87"/>
    <w:rsid w:val="00F67228"/>
    <w:rsid w:val="00F67E65"/>
    <w:rsid w:val="00F762B6"/>
    <w:rsid w:val="00F770A3"/>
    <w:rsid w:val="00F77C68"/>
    <w:rsid w:val="00F802F0"/>
    <w:rsid w:val="00F806D7"/>
    <w:rsid w:val="00F8074F"/>
    <w:rsid w:val="00F80D46"/>
    <w:rsid w:val="00F8137A"/>
    <w:rsid w:val="00F8197F"/>
    <w:rsid w:val="00F85878"/>
    <w:rsid w:val="00F86E9F"/>
    <w:rsid w:val="00F87E5D"/>
    <w:rsid w:val="00F9069D"/>
    <w:rsid w:val="00F947C5"/>
    <w:rsid w:val="00F966E5"/>
    <w:rsid w:val="00F96CCC"/>
    <w:rsid w:val="00F97E87"/>
    <w:rsid w:val="00FA1252"/>
    <w:rsid w:val="00FA1275"/>
    <w:rsid w:val="00FA1472"/>
    <w:rsid w:val="00FA2E4A"/>
    <w:rsid w:val="00FA3B11"/>
    <w:rsid w:val="00FB0F88"/>
    <w:rsid w:val="00FB3AEC"/>
    <w:rsid w:val="00FC1922"/>
    <w:rsid w:val="00FC722B"/>
    <w:rsid w:val="00FD34A0"/>
    <w:rsid w:val="00FD7B3E"/>
    <w:rsid w:val="00FE4AF8"/>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FCE3"/>
  <w15:chartTrackingRefBased/>
  <w15:docId w15:val="{76EC6F47-C3D5-45FD-A94A-84EE40FB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6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2A"/>
    <w:pPr>
      <w:ind w:left="720"/>
      <w:contextualSpacing/>
    </w:pPr>
  </w:style>
  <w:style w:type="paragraph" w:customStyle="1" w:styleId="paragraph">
    <w:name w:val="paragraph"/>
    <w:basedOn w:val="Normal"/>
    <w:rsid w:val="00D55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6FA"/>
  </w:style>
  <w:style w:type="character" w:customStyle="1" w:styleId="apple-converted-space">
    <w:name w:val="apple-converted-space"/>
    <w:basedOn w:val="DefaultParagraphFont"/>
    <w:rsid w:val="00D556FA"/>
  </w:style>
  <w:style w:type="character" w:customStyle="1" w:styleId="eop">
    <w:name w:val="eop"/>
    <w:basedOn w:val="DefaultParagraphFont"/>
    <w:rsid w:val="00D556FA"/>
  </w:style>
  <w:style w:type="character" w:styleId="Hyperlink">
    <w:name w:val="Hyperlink"/>
    <w:basedOn w:val="DefaultParagraphFont"/>
    <w:uiPriority w:val="99"/>
    <w:unhideWhenUsed/>
    <w:rsid w:val="00D556FA"/>
    <w:rPr>
      <w:color w:val="0563C1" w:themeColor="hyperlink"/>
      <w:u w:val="single"/>
    </w:rPr>
  </w:style>
  <w:style w:type="character" w:styleId="FollowedHyperlink">
    <w:name w:val="FollowedHyperlink"/>
    <w:basedOn w:val="DefaultParagraphFont"/>
    <w:uiPriority w:val="99"/>
    <w:semiHidden/>
    <w:unhideWhenUsed/>
    <w:rsid w:val="00D556FA"/>
    <w:rPr>
      <w:color w:val="954F72" w:themeColor="followedHyperlink"/>
      <w:u w:val="single"/>
    </w:rPr>
  </w:style>
  <w:style w:type="character" w:customStyle="1" w:styleId="UnresolvedMention1">
    <w:name w:val="Unresolved Mention1"/>
    <w:basedOn w:val="DefaultParagraphFont"/>
    <w:uiPriority w:val="99"/>
    <w:semiHidden/>
    <w:unhideWhenUsed/>
    <w:rsid w:val="00C45ECB"/>
    <w:rPr>
      <w:color w:val="605E5C"/>
      <w:shd w:val="clear" w:color="auto" w:fill="E1DFDD"/>
    </w:rPr>
  </w:style>
  <w:style w:type="paragraph" w:styleId="Header">
    <w:name w:val="header"/>
    <w:basedOn w:val="Normal"/>
    <w:link w:val="HeaderChar"/>
    <w:uiPriority w:val="99"/>
    <w:unhideWhenUsed/>
    <w:rsid w:val="0088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F4"/>
  </w:style>
  <w:style w:type="paragraph" w:styleId="Footer">
    <w:name w:val="footer"/>
    <w:basedOn w:val="Normal"/>
    <w:link w:val="FooterChar"/>
    <w:uiPriority w:val="99"/>
    <w:unhideWhenUsed/>
    <w:rsid w:val="0088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F4"/>
  </w:style>
  <w:style w:type="paragraph" w:styleId="Revision">
    <w:name w:val="Revision"/>
    <w:hidden/>
    <w:uiPriority w:val="99"/>
    <w:semiHidden/>
    <w:rsid w:val="00226D5B"/>
    <w:pPr>
      <w:spacing w:after="0" w:line="240" w:lineRule="auto"/>
    </w:pPr>
  </w:style>
  <w:style w:type="paragraph" w:styleId="BalloonText">
    <w:name w:val="Balloon Text"/>
    <w:basedOn w:val="Normal"/>
    <w:link w:val="BalloonTextChar"/>
    <w:uiPriority w:val="99"/>
    <w:semiHidden/>
    <w:unhideWhenUsed/>
    <w:rsid w:val="00C7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2F"/>
    <w:rPr>
      <w:rFonts w:ascii="Segoe UI" w:hAnsi="Segoe UI" w:cs="Segoe UI"/>
      <w:sz w:val="18"/>
      <w:szCs w:val="18"/>
    </w:rPr>
  </w:style>
  <w:style w:type="character" w:styleId="LineNumber">
    <w:name w:val="line number"/>
    <w:basedOn w:val="DefaultParagraphFont"/>
    <w:uiPriority w:val="99"/>
    <w:semiHidden/>
    <w:unhideWhenUsed/>
    <w:rsid w:val="00C6629B"/>
  </w:style>
  <w:style w:type="character" w:styleId="CommentReference">
    <w:name w:val="annotation reference"/>
    <w:basedOn w:val="DefaultParagraphFont"/>
    <w:uiPriority w:val="99"/>
    <w:semiHidden/>
    <w:unhideWhenUsed/>
    <w:rsid w:val="00F947C5"/>
    <w:rPr>
      <w:sz w:val="16"/>
      <w:szCs w:val="16"/>
    </w:rPr>
  </w:style>
  <w:style w:type="paragraph" w:styleId="CommentText">
    <w:name w:val="annotation text"/>
    <w:basedOn w:val="Normal"/>
    <w:link w:val="CommentTextChar"/>
    <w:uiPriority w:val="99"/>
    <w:unhideWhenUsed/>
    <w:rsid w:val="00F947C5"/>
    <w:pPr>
      <w:spacing w:line="240" w:lineRule="auto"/>
    </w:pPr>
    <w:rPr>
      <w:sz w:val="20"/>
      <w:szCs w:val="20"/>
    </w:rPr>
  </w:style>
  <w:style w:type="character" w:customStyle="1" w:styleId="CommentTextChar">
    <w:name w:val="Comment Text Char"/>
    <w:basedOn w:val="DefaultParagraphFont"/>
    <w:link w:val="CommentText"/>
    <w:uiPriority w:val="99"/>
    <w:rsid w:val="00F947C5"/>
    <w:rPr>
      <w:sz w:val="20"/>
      <w:szCs w:val="20"/>
    </w:rPr>
  </w:style>
  <w:style w:type="paragraph" w:styleId="CommentSubject">
    <w:name w:val="annotation subject"/>
    <w:basedOn w:val="CommentText"/>
    <w:next w:val="CommentText"/>
    <w:link w:val="CommentSubjectChar"/>
    <w:uiPriority w:val="99"/>
    <w:semiHidden/>
    <w:unhideWhenUsed/>
    <w:rsid w:val="00F947C5"/>
    <w:rPr>
      <w:b/>
      <w:bCs/>
    </w:rPr>
  </w:style>
  <w:style w:type="character" w:customStyle="1" w:styleId="CommentSubjectChar">
    <w:name w:val="Comment Subject Char"/>
    <w:basedOn w:val="CommentTextChar"/>
    <w:link w:val="CommentSubject"/>
    <w:uiPriority w:val="99"/>
    <w:semiHidden/>
    <w:rsid w:val="00F947C5"/>
    <w:rPr>
      <w:b/>
      <w:bCs/>
      <w:sz w:val="20"/>
      <w:szCs w:val="20"/>
    </w:rPr>
  </w:style>
  <w:style w:type="character" w:styleId="UnresolvedMention">
    <w:name w:val="Unresolved Mention"/>
    <w:basedOn w:val="DefaultParagraphFont"/>
    <w:uiPriority w:val="99"/>
    <w:semiHidden/>
    <w:unhideWhenUsed/>
    <w:rsid w:val="0096180A"/>
    <w:rPr>
      <w:color w:val="605E5C"/>
      <w:shd w:val="clear" w:color="auto" w:fill="E1DFDD"/>
    </w:rPr>
  </w:style>
  <w:style w:type="character" w:customStyle="1" w:styleId="Heading1Char">
    <w:name w:val="Heading 1 Char"/>
    <w:basedOn w:val="DefaultParagraphFont"/>
    <w:link w:val="Heading1"/>
    <w:uiPriority w:val="9"/>
    <w:rsid w:val="001656B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fa.uoregon.edu/tuition/2025-26-news-and-upd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pfa.uoregon.edu/year-over-year-nonres-tuition-and-fee-incr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8D5FC-87F7-448E-B88F-1962FDAA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10</cp:revision>
  <dcterms:created xsi:type="dcterms:W3CDTF">2026-02-14T17:24:00Z</dcterms:created>
  <dcterms:modified xsi:type="dcterms:W3CDTF">2026-02-26T23:28:00Z</dcterms:modified>
</cp:coreProperties>
</file>