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0565B" w:rsidRDefault="00CF6F95">
      <w:pPr>
        <w:spacing w:after="200"/>
        <w:rPr>
          <w:rFonts w:ascii="Garamond" w:eastAsia="Garamond" w:hAnsi="Garamond" w:cs="Garamond"/>
          <w:b/>
          <w:bCs/>
          <w:sz w:val="28"/>
          <w:szCs w:val="28"/>
        </w:rPr>
      </w:pPr>
      <w:r>
        <w:rPr>
          <w:rFonts w:ascii="Garamond" w:eastAsia="Garamond" w:hAnsi="Garamond" w:cs="Garamond"/>
          <w:b/>
          <w:bCs/>
          <w:sz w:val="28"/>
          <w:szCs w:val="28"/>
        </w:rPr>
        <w:t xml:space="preserve">To: Karl Scholz </w:t>
      </w:r>
    </w:p>
    <w:p w14:paraId="00000002" w14:textId="77777777" w:rsidR="0090565B" w:rsidRDefault="00CF6F95">
      <w:pPr>
        <w:spacing w:after="200"/>
        <w:rPr>
          <w:rFonts w:ascii="Garamond" w:eastAsia="Garamond" w:hAnsi="Garamond" w:cs="Garamond"/>
          <w:b/>
          <w:bCs/>
          <w:sz w:val="28"/>
          <w:szCs w:val="28"/>
        </w:rPr>
      </w:pPr>
      <w:r>
        <w:rPr>
          <w:rFonts w:ascii="Garamond" w:eastAsia="Garamond" w:hAnsi="Garamond" w:cs="Garamond"/>
          <w:b/>
          <w:bCs/>
          <w:sz w:val="28"/>
          <w:szCs w:val="28"/>
        </w:rPr>
        <w:t xml:space="preserve">From: ASUO Executive </w:t>
      </w:r>
    </w:p>
    <w:p w14:paraId="00000003" w14:textId="77777777" w:rsidR="0090565B" w:rsidRDefault="00CF6F95">
      <w:pPr>
        <w:spacing w:after="200"/>
        <w:rPr>
          <w:rFonts w:ascii="Garamond" w:eastAsia="Garamond" w:hAnsi="Garamond" w:cs="Garamond"/>
          <w:b/>
          <w:bCs/>
          <w:sz w:val="28"/>
          <w:szCs w:val="28"/>
        </w:rPr>
      </w:pPr>
      <w:r>
        <w:rPr>
          <w:rFonts w:ascii="Garamond" w:eastAsia="Garamond" w:hAnsi="Garamond" w:cs="Garamond"/>
          <w:b/>
          <w:bCs/>
          <w:sz w:val="28"/>
          <w:szCs w:val="28"/>
        </w:rPr>
        <w:t>Date: February 13, 2026</w:t>
      </w:r>
    </w:p>
    <w:p w14:paraId="00000004" w14:textId="77777777" w:rsidR="0090565B" w:rsidRDefault="00CF6F95">
      <w:pPr>
        <w:spacing w:after="200"/>
        <w:rPr>
          <w:rFonts w:ascii="Garamond" w:eastAsia="Garamond" w:hAnsi="Garamond" w:cs="Garamond"/>
          <w:b/>
          <w:bCs/>
          <w:sz w:val="28"/>
          <w:szCs w:val="28"/>
        </w:rPr>
      </w:pPr>
      <w:r>
        <w:rPr>
          <w:rFonts w:ascii="Garamond" w:eastAsia="Garamond" w:hAnsi="Garamond" w:cs="Garamond"/>
          <w:b/>
          <w:bCs/>
          <w:sz w:val="28"/>
          <w:szCs w:val="28"/>
        </w:rPr>
        <w:t xml:space="preserve">Re: Minority Report Memo Regarding the FY2027 Tuition and Fee Advisory Board (TFAB) recommended Resident Undergraduate Tuition Rates </w:t>
      </w:r>
    </w:p>
    <w:p w14:paraId="00000005" w14:textId="77777777" w:rsidR="0090565B" w:rsidRDefault="00CF6F95">
      <w:pPr>
        <w:spacing w:after="200"/>
        <w:rPr>
          <w:rFonts w:ascii="Garamond" w:eastAsia="Garamond" w:hAnsi="Garamond" w:cs="Garamond"/>
          <w:i/>
          <w:iCs/>
          <w:sz w:val="28"/>
          <w:szCs w:val="28"/>
        </w:rPr>
      </w:pPr>
      <w:r>
        <w:rPr>
          <w:rFonts w:ascii="Garamond" w:eastAsia="Garamond" w:hAnsi="Garamond" w:cs="Garamond"/>
          <w:i/>
          <w:iCs/>
          <w:sz w:val="28"/>
          <w:szCs w:val="28"/>
        </w:rPr>
        <w:t xml:space="preserve">This minority report memo provides the ASUO Executive perspective on the FY2027 tuition-setting process, based on the participation of Daphne Patrick, ASUO Chief of Staff, in collaboration with Justin Begley, ASUO Director of Finance, as official members of the Tuition and Fee Advisory Board (TFAB). Additionally, this memo will address concerns with several of TFAB's recommendations, contextualized within the broader 2025 budget crisis and the university's ongoing financial patterns. </w:t>
      </w:r>
    </w:p>
    <w:p w14:paraId="00000006"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Several of the </w:t>
      </w:r>
      <w:proofErr w:type="gramStart"/>
      <w:r>
        <w:rPr>
          <w:rFonts w:ascii="Garamond" w:eastAsia="Garamond" w:hAnsi="Garamond" w:cs="Garamond"/>
          <w:sz w:val="28"/>
          <w:szCs w:val="28"/>
        </w:rPr>
        <w:t>memo’s recommendations</w:t>
      </w:r>
      <w:proofErr w:type="gramEnd"/>
      <w:r>
        <w:rPr>
          <w:rFonts w:ascii="Garamond" w:eastAsia="Garamond" w:hAnsi="Garamond" w:cs="Garamond"/>
          <w:sz w:val="28"/>
          <w:szCs w:val="28"/>
        </w:rPr>
        <w:t xml:space="preserve"> will impose unsustainable costs on students at a time when the university has already demonstrated a pattern of excluding student voices from major financial decisions. </w:t>
      </w:r>
    </w:p>
    <w:p w14:paraId="00000007"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This memo is informed by the broader institutional picture of the 2025 budget crisis, including the $29.2 million in cuts carried out over the summer and fall with what ASUO, the GTFF, United Academics, SEIU, and the UO Student Workers Union have collectively described as inadequate consultation and a lack of financial transparency. Examples of this include: </w:t>
      </w:r>
    </w:p>
    <w:p w14:paraId="00000008" w14:textId="77777777" w:rsidR="0090565B" w:rsidRDefault="00CF6F95">
      <w:pPr>
        <w:numPr>
          <w:ilvl w:val="0"/>
          <w:numId w:val="2"/>
        </w:numPr>
        <w:rPr>
          <w:rFonts w:ascii="Garamond" w:eastAsia="Garamond" w:hAnsi="Garamond" w:cs="Garamond"/>
          <w:sz w:val="28"/>
          <w:szCs w:val="28"/>
        </w:rPr>
      </w:pPr>
      <w:r>
        <w:rPr>
          <w:rFonts w:ascii="Garamond" w:eastAsia="Garamond" w:hAnsi="Garamond" w:cs="Garamond"/>
          <w:sz w:val="28"/>
          <w:szCs w:val="28"/>
        </w:rPr>
        <w:t>Budget notification emails in May 2025 were sent only to faculty and staff—not students.</w:t>
      </w:r>
    </w:p>
    <w:p w14:paraId="00000009" w14:textId="77777777" w:rsidR="0090565B" w:rsidRDefault="00CF6F95">
      <w:pPr>
        <w:numPr>
          <w:ilvl w:val="0"/>
          <w:numId w:val="2"/>
        </w:numPr>
        <w:rPr>
          <w:rFonts w:ascii="Garamond" w:eastAsia="Garamond" w:hAnsi="Garamond" w:cs="Garamond"/>
          <w:sz w:val="28"/>
          <w:szCs w:val="28"/>
        </w:rPr>
      </w:pPr>
      <w:r>
        <w:rPr>
          <w:rFonts w:ascii="Garamond" w:eastAsia="Garamond" w:hAnsi="Garamond" w:cs="Garamond"/>
          <w:sz w:val="28"/>
          <w:szCs w:val="28"/>
        </w:rPr>
        <w:t xml:space="preserve">The University Senate Budget Task Force consulted by the </w:t>
      </w:r>
      <w:proofErr w:type="gramStart"/>
      <w:r>
        <w:rPr>
          <w:rFonts w:ascii="Garamond" w:eastAsia="Garamond" w:hAnsi="Garamond" w:cs="Garamond"/>
          <w:sz w:val="28"/>
          <w:szCs w:val="28"/>
        </w:rPr>
        <w:t>Provost</w:t>
      </w:r>
      <w:proofErr w:type="gramEnd"/>
      <w:r>
        <w:rPr>
          <w:rFonts w:ascii="Garamond" w:eastAsia="Garamond" w:hAnsi="Garamond" w:cs="Garamond"/>
          <w:sz w:val="28"/>
          <w:szCs w:val="28"/>
        </w:rPr>
        <w:t xml:space="preserve"> had no student members, despite ASUO President Moreno being an ex-officio member of the Senate Budget Committee.</w:t>
      </w:r>
    </w:p>
    <w:p w14:paraId="0000000A" w14:textId="77777777" w:rsidR="0090565B" w:rsidRDefault="00CF6F95">
      <w:pPr>
        <w:numPr>
          <w:ilvl w:val="0"/>
          <w:numId w:val="2"/>
        </w:numPr>
        <w:rPr>
          <w:rFonts w:ascii="Garamond" w:eastAsia="Garamond" w:hAnsi="Garamond" w:cs="Garamond"/>
          <w:sz w:val="28"/>
          <w:szCs w:val="28"/>
        </w:rPr>
      </w:pPr>
      <w:r>
        <w:rPr>
          <w:rFonts w:ascii="Garamond" w:eastAsia="Garamond" w:hAnsi="Garamond" w:cs="Garamond"/>
          <w:sz w:val="28"/>
          <w:szCs w:val="28"/>
        </w:rPr>
        <w:t>The single town hall opportunity for students was held at 3 PM on the first day of Finals Week (June 9)</w:t>
      </w:r>
    </w:p>
    <w:p w14:paraId="0000000B" w14:textId="77777777" w:rsidR="0090565B" w:rsidRDefault="00CF6F95">
      <w:pPr>
        <w:numPr>
          <w:ilvl w:val="0"/>
          <w:numId w:val="2"/>
        </w:numPr>
        <w:rPr>
          <w:rFonts w:ascii="Garamond" w:eastAsia="Garamond" w:hAnsi="Garamond" w:cs="Garamond"/>
          <w:sz w:val="28"/>
          <w:szCs w:val="28"/>
        </w:rPr>
      </w:pPr>
      <w:r>
        <w:rPr>
          <w:rFonts w:ascii="Garamond" w:eastAsia="Garamond" w:hAnsi="Garamond" w:cs="Garamond"/>
          <w:sz w:val="28"/>
          <w:szCs w:val="28"/>
        </w:rPr>
        <w:t>All four campus labor unions coordinated through the Campus Labor Council to send 1,000+ letters, gather approximately 3,000 petition signatures, and hold a public rally.</w:t>
      </w:r>
    </w:p>
    <w:p w14:paraId="0000000C" w14:textId="77777777" w:rsidR="0090565B" w:rsidRDefault="00CF6F95">
      <w:pPr>
        <w:numPr>
          <w:ilvl w:val="0"/>
          <w:numId w:val="2"/>
        </w:numPr>
        <w:rPr>
          <w:rFonts w:ascii="Garamond" w:eastAsia="Garamond" w:hAnsi="Garamond" w:cs="Garamond"/>
          <w:sz w:val="28"/>
          <w:szCs w:val="28"/>
        </w:rPr>
      </w:pPr>
      <w:r>
        <w:rPr>
          <w:rFonts w:ascii="Garamond" w:eastAsia="Garamond" w:hAnsi="Garamond" w:cs="Garamond"/>
          <w:sz w:val="28"/>
          <w:szCs w:val="28"/>
        </w:rPr>
        <w:t>Higher Education Labor United reported that the campaign forced the administration to abandon plans for program eliminations and tenure-track layoffs, though 176 positions were still cut.</w:t>
      </w:r>
    </w:p>
    <w:p w14:paraId="0000000D" w14:textId="77777777" w:rsidR="0090565B" w:rsidRDefault="00CF6F95">
      <w:pPr>
        <w:numPr>
          <w:ilvl w:val="0"/>
          <w:numId w:val="2"/>
        </w:numPr>
        <w:spacing w:after="200"/>
        <w:rPr>
          <w:rFonts w:ascii="Garamond" w:eastAsia="Garamond" w:hAnsi="Garamond" w:cs="Garamond"/>
          <w:sz w:val="28"/>
          <w:szCs w:val="28"/>
        </w:rPr>
      </w:pPr>
      <w:r>
        <w:rPr>
          <w:rFonts w:ascii="Garamond" w:eastAsia="Garamond" w:hAnsi="Garamond" w:cs="Garamond"/>
          <w:sz w:val="28"/>
          <w:szCs w:val="28"/>
        </w:rPr>
        <w:t xml:space="preserve">ASUO President Moreno formally testified to the Board of Trustees in her capacity as ASUO President in both September and December 2025 that students were "never asked how we could be part of the solution" and that </w:t>
      </w:r>
      <w:r>
        <w:rPr>
          <w:rFonts w:ascii="Garamond" w:eastAsia="Garamond" w:hAnsi="Garamond" w:cs="Garamond"/>
          <w:sz w:val="28"/>
          <w:szCs w:val="28"/>
        </w:rPr>
        <w:lastRenderedPageBreak/>
        <w:t>"ASUO cannot perform its role advocating on behalf of students if we are never in the room."</w:t>
      </w:r>
    </w:p>
    <w:p w14:paraId="0000000E"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The ASUO Senate passed resolutions on </w:t>
      </w:r>
      <w:hyperlink r:id="rId6">
        <w:r>
          <w:rPr>
            <w:rFonts w:ascii="Garamond" w:eastAsia="Garamond" w:hAnsi="Garamond" w:cs="Garamond"/>
            <w:color w:val="1155CC"/>
            <w:sz w:val="28"/>
            <w:szCs w:val="28"/>
            <w:u w:val="single"/>
          </w:rPr>
          <w:t>June 4</w:t>
        </w:r>
      </w:hyperlink>
      <w:r>
        <w:rPr>
          <w:rFonts w:ascii="Garamond" w:eastAsia="Garamond" w:hAnsi="Garamond" w:cs="Garamond"/>
          <w:sz w:val="28"/>
          <w:szCs w:val="28"/>
        </w:rPr>
        <w:t xml:space="preserve"> and </w:t>
      </w:r>
      <w:hyperlink r:id="rId7">
        <w:r>
          <w:rPr>
            <w:rFonts w:ascii="Garamond" w:eastAsia="Garamond" w:hAnsi="Garamond" w:cs="Garamond"/>
            <w:color w:val="1155CC"/>
            <w:sz w:val="28"/>
            <w:szCs w:val="28"/>
            <w:u w:val="single"/>
          </w:rPr>
          <w:t xml:space="preserve">August 26, 2025 </w:t>
        </w:r>
      </w:hyperlink>
      <w:r>
        <w:rPr>
          <w:rFonts w:ascii="Garamond" w:eastAsia="Garamond" w:hAnsi="Garamond" w:cs="Garamond"/>
          <w:sz w:val="28"/>
          <w:szCs w:val="28"/>
        </w:rPr>
        <w:t>condemning these processes; and all four campus labor unions co-sponsored the June 4th ASUO Senate Resolution “</w:t>
      </w:r>
      <w:r>
        <w:rPr>
          <w:rFonts w:ascii="Times New Roman" w:eastAsia="Times New Roman" w:hAnsi="Times New Roman" w:cs="Times New Roman"/>
        </w:rPr>
        <w:t xml:space="preserve">RESOLUTION TO ENHANCE FINANCIAL TRANSPARENCY IN UNIVERSITY ADMINISTRATION”. </w:t>
      </w:r>
    </w:p>
    <w:p w14:paraId="0000000F"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TFAB is a mechanism of a tuition-setting process that creates the appearance of student consultation without providing </w:t>
      </w:r>
      <w:proofErr w:type="gramStart"/>
      <w:r>
        <w:rPr>
          <w:rFonts w:ascii="Garamond" w:eastAsia="Garamond" w:hAnsi="Garamond" w:cs="Garamond"/>
          <w:sz w:val="28"/>
          <w:szCs w:val="28"/>
        </w:rPr>
        <w:t>students</w:t>
      </w:r>
      <w:proofErr w:type="gramEnd"/>
      <w:r>
        <w:rPr>
          <w:rFonts w:ascii="Garamond" w:eastAsia="Garamond" w:hAnsi="Garamond" w:cs="Garamond"/>
          <w:sz w:val="28"/>
          <w:szCs w:val="28"/>
        </w:rPr>
        <w:t xml:space="preserve"> actual leverage over outcomes. TFAB is advisory to the president, and the president has historically adopted TFAB recommendations, and has also overridden TFAB when it failed to reach consensus. At no point in this chain does student input have binding authority, even as the largest group of stakeholders and worth mentioning, the group that carries the responsibility of funding their public university through their tuition dollars. </w:t>
      </w:r>
    </w:p>
    <w:p w14:paraId="00000010"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Before any TFAB meetings were held, before any students were put in a room and given financial briefings, members of UO Financial Administration such as Jamie Moffitt and Brian Fox knew that tuition and fees must be raised significantly as we choose to pass the cost burden onto students. It has not </w:t>
      </w:r>
      <w:proofErr w:type="spellStart"/>
      <w:r>
        <w:rPr>
          <w:rFonts w:ascii="Garamond" w:eastAsia="Garamond" w:hAnsi="Garamond" w:cs="Garamond"/>
          <w:sz w:val="28"/>
          <w:szCs w:val="28"/>
        </w:rPr>
        <w:t>sat</w:t>
      </w:r>
      <w:proofErr w:type="spellEnd"/>
      <w:r>
        <w:rPr>
          <w:rFonts w:ascii="Garamond" w:eastAsia="Garamond" w:hAnsi="Garamond" w:cs="Garamond"/>
          <w:sz w:val="28"/>
          <w:szCs w:val="28"/>
        </w:rPr>
        <w:t xml:space="preserve"> well with us, ASUO representatives, that baked into the context of TFAB, is the reality that we already know that all fees and tuition rates must be raised, and even when they are, it is not enough to put the university back into a neutral place, yet we still conduct this “advisory” process. </w:t>
      </w:r>
    </w:p>
    <w:p w14:paraId="00000011" w14:textId="77777777" w:rsidR="0090565B" w:rsidRDefault="00CF6F95">
      <w:pPr>
        <w:spacing w:after="200"/>
        <w:rPr>
          <w:rFonts w:ascii="Garamond" w:eastAsia="Garamond" w:hAnsi="Garamond" w:cs="Garamond"/>
          <w:sz w:val="28"/>
          <w:szCs w:val="28"/>
        </w:rPr>
      </w:pPr>
      <w:r>
        <w:rPr>
          <w:rFonts w:ascii="Garamond" w:eastAsia="Garamond" w:hAnsi="Garamond" w:cs="Garamond"/>
          <w:sz w:val="28"/>
          <w:szCs w:val="28"/>
        </w:rPr>
        <w:t xml:space="preserve">This context is relevant to why students approach the tuition-setting process with justified skepticism. </w:t>
      </w:r>
    </w:p>
    <w:p w14:paraId="00000012" w14:textId="77777777" w:rsidR="0090565B" w:rsidRDefault="00CF6F95">
      <w:pPr>
        <w:pStyle w:val="Heading1"/>
        <w:rPr>
          <w:rFonts w:ascii="Garamond" w:eastAsia="Garamond" w:hAnsi="Garamond" w:cs="Garamond"/>
        </w:rPr>
      </w:pPr>
      <w:r>
        <w:rPr>
          <w:rFonts w:ascii="Garamond" w:eastAsia="Garamond" w:hAnsi="Garamond" w:cs="Garamond"/>
          <w:color w:val="000000"/>
        </w:rPr>
        <w:t>Student Representation on TFAB</w:t>
      </w:r>
    </w:p>
    <w:p w14:paraId="00000013"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Five students out of 22 members means students, the people most directly impacted by tuition decisions, hold less than 23% of seats on a body that exists to advise on how much they will pay and why. TFAB’s composition ensures that administrative voices dominate, making student input more performative than substantive. </w:t>
      </w:r>
    </w:p>
    <w:p w14:paraId="00000014" w14:textId="77777777" w:rsidR="0090565B" w:rsidRDefault="00CF6F95">
      <w:pPr>
        <w:pStyle w:val="Heading1"/>
        <w:rPr>
          <w:rFonts w:ascii="Garamond" w:eastAsia="Garamond" w:hAnsi="Garamond" w:cs="Garamond"/>
        </w:rPr>
      </w:pPr>
      <w:r>
        <w:rPr>
          <w:rFonts w:ascii="Garamond" w:eastAsia="Garamond" w:hAnsi="Garamond" w:cs="Garamond"/>
          <w:color w:val="000000"/>
        </w:rPr>
        <w:t>The TFAB Process as Performative Consultation</w:t>
      </w:r>
    </w:p>
    <w:p w14:paraId="00000015" w14:textId="77777777" w:rsidR="0090565B" w:rsidRDefault="00CF6F95">
      <w:pPr>
        <w:spacing w:after="120"/>
        <w:rPr>
          <w:rFonts w:ascii="Garamond" w:eastAsia="Garamond" w:hAnsi="Garamond" w:cs="Garamond"/>
          <w:sz w:val="28"/>
          <w:szCs w:val="28"/>
        </w:rPr>
      </w:pPr>
      <w:r>
        <w:rPr>
          <w:rFonts w:ascii="Garamond" w:eastAsia="Garamond" w:hAnsi="Garamond" w:cs="Garamond"/>
          <w:b/>
          <w:bCs/>
          <w:sz w:val="28"/>
          <w:szCs w:val="28"/>
        </w:rPr>
        <w:t xml:space="preserve">The memo states </w:t>
      </w:r>
      <w:r>
        <w:rPr>
          <w:rFonts w:ascii="Garamond" w:eastAsia="Garamond" w:hAnsi="Garamond" w:cs="Garamond"/>
          <w:i/>
          <w:iCs/>
          <w:sz w:val="28"/>
          <w:szCs w:val="28"/>
        </w:rPr>
        <w:t>“TFAB members expressed concern about how the university will meet the rising operational costs of providing high-quality education and student services, while also recognizing the very real financial difficulties faced by students and families in Oregon and nationwide in affording the costs of higher education.”</w:t>
      </w:r>
    </w:p>
    <w:p w14:paraId="00000016"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lastRenderedPageBreak/>
        <w:t xml:space="preserve">This language reads as though TFAB’s concern is balanced between institutional costs and student affordability. But the structure of TFAB ensures that institutional cost concerns always prevail. A concern is simply just that if there is a pre-determined outcome, raising tuition and fees. It's weirdly cruel to put 5 students in a room, tell them their input makes a difference, while knowing this university can only survive by being extremely </w:t>
      </w:r>
      <w:proofErr w:type="gramStart"/>
      <w:r>
        <w:rPr>
          <w:rFonts w:ascii="Garamond" w:eastAsia="Garamond" w:hAnsi="Garamond" w:cs="Garamond"/>
          <w:sz w:val="28"/>
          <w:szCs w:val="28"/>
        </w:rPr>
        <w:t>tuition-reliant</w:t>
      </w:r>
      <w:proofErr w:type="gramEnd"/>
      <w:r>
        <w:rPr>
          <w:rFonts w:ascii="Garamond" w:eastAsia="Garamond" w:hAnsi="Garamond" w:cs="Garamond"/>
          <w:sz w:val="28"/>
          <w:szCs w:val="28"/>
        </w:rPr>
        <w:t xml:space="preserve">. </w:t>
      </w:r>
    </w:p>
    <w:p w14:paraId="00000017"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This process creates the appearance of student input while ensuring that the recommendation will always prioritize the institution’s revenue needs, usually through the avenue of tuition. </w:t>
      </w:r>
    </w:p>
    <w:p w14:paraId="00000018" w14:textId="77777777" w:rsidR="0090565B" w:rsidRDefault="00CF6F95">
      <w:pPr>
        <w:spacing w:after="100"/>
        <w:rPr>
          <w:rFonts w:ascii="Garamond" w:eastAsia="Garamond" w:hAnsi="Garamond" w:cs="Garamond"/>
          <w:sz w:val="28"/>
          <w:szCs w:val="28"/>
          <w:highlight w:val="white"/>
        </w:rPr>
      </w:pPr>
      <w:r>
        <w:rPr>
          <w:rFonts w:ascii="Garamond" w:eastAsia="Garamond" w:hAnsi="Garamond" w:cs="Garamond"/>
          <w:sz w:val="28"/>
          <w:szCs w:val="28"/>
        </w:rPr>
        <w:t xml:space="preserve">Additionally, when concerns were brought up about low levels of state appropriations, TFAB leaders suggested someone from UO Government affairs </w:t>
      </w:r>
      <w:r>
        <w:rPr>
          <w:rFonts w:ascii="Garamond" w:eastAsia="Garamond" w:hAnsi="Garamond" w:cs="Garamond"/>
          <w:i/>
          <w:iCs/>
          <w:sz w:val="28"/>
          <w:szCs w:val="28"/>
        </w:rPr>
        <w:t>could</w:t>
      </w:r>
      <w:r>
        <w:rPr>
          <w:rFonts w:ascii="Garamond" w:eastAsia="Garamond" w:hAnsi="Garamond" w:cs="Garamond"/>
          <w:sz w:val="28"/>
          <w:szCs w:val="28"/>
        </w:rPr>
        <w:t xml:space="preserve"> come to TFAB meetings and discuss lobbying efforts with the board, we believe this should be part of the process no matter what. Trent Lutz, </w:t>
      </w:r>
      <w:r>
        <w:rPr>
          <w:rFonts w:ascii="Garamond" w:eastAsia="Garamond" w:hAnsi="Garamond" w:cs="Garamond"/>
          <w:sz w:val="28"/>
          <w:szCs w:val="28"/>
          <w:highlight w:val="white"/>
        </w:rPr>
        <w:t xml:space="preserve">Executive Director, Government and Community Relations and Associate Vice President for State Affairs did not attend any TFAB session to speak to members about the current situation. We (Daphne Patrick and Justin Begley) voiced concern about bringing students to Salem to lobby in support of higher education funding without educating them on the reasons why state </w:t>
      </w:r>
      <w:r>
        <w:rPr>
          <w:rFonts w:ascii="Garamond" w:eastAsia="Garamond" w:hAnsi="Garamond" w:cs="Garamond"/>
          <w:sz w:val="28"/>
          <w:szCs w:val="28"/>
          <w:highlight w:val="white"/>
        </w:rPr>
        <w:t xml:space="preserve">appropriations are so low for Oregon. We did not feel my questions were adequately answered, and other members of the board told me that legislators “do care about the personal stories of students”, and that they are very important to bring to Salem. </w:t>
      </w:r>
    </w:p>
    <w:p w14:paraId="00000019" w14:textId="77777777" w:rsidR="0090565B" w:rsidRDefault="00CF6F95">
      <w:pPr>
        <w:spacing w:after="100"/>
      </w:pPr>
      <w:r>
        <w:rPr>
          <w:rFonts w:ascii="Garamond" w:eastAsia="Garamond" w:hAnsi="Garamond" w:cs="Garamond"/>
          <w:sz w:val="28"/>
          <w:szCs w:val="28"/>
          <w:highlight w:val="white"/>
        </w:rPr>
        <w:t xml:space="preserve">We would also like to note that in the 2024-2025 academic year, UO Advocates partnered with ASUO (as it is precedent) in orchestrating UO Lobby Day and over 15 members of ASUO attended, successfully outreached to and brought many other students, and former ASUO President Mariam Hasan shared remarks at the reception of UO Lobby Day. This academic year, UO Advocates did not choose to collaborate with ASUO in any capacity for lobbying, which is extremely disappointing considering “low state appropriations, we </w:t>
      </w:r>
      <w:r>
        <w:rPr>
          <w:rFonts w:ascii="Garamond" w:eastAsia="Garamond" w:hAnsi="Garamond" w:cs="Garamond"/>
          <w:sz w:val="28"/>
          <w:szCs w:val="28"/>
          <w:highlight w:val="white"/>
        </w:rPr>
        <w:t xml:space="preserve">need to lobby more” is a common response given to students and members of TFAB when discussing budget shortfalls and funding our education. </w:t>
      </w:r>
    </w:p>
    <w:p w14:paraId="0000001A" w14:textId="77777777" w:rsidR="0090565B" w:rsidRDefault="00CF6F95">
      <w:pPr>
        <w:pStyle w:val="Heading1"/>
        <w:rPr>
          <w:rFonts w:ascii="Garamond" w:eastAsia="Garamond" w:hAnsi="Garamond" w:cs="Garamond"/>
        </w:rPr>
      </w:pPr>
      <w:r>
        <w:rPr>
          <w:rFonts w:ascii="Garamond" w:eastAsia="Garamond" w:hAnsi="Garamond" w:cs="Garamond"/>
          <w:color w:val="000000"/>
        </w:rPr>
        <w:t>Student Forum Attendance</w:t>
      </w:r>
    </w:p>
    <w:p w14:paraId="0000001B"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Seventeen students at a tuition forum for a university of over 23,000 students is evidence that the process is failing to reach students. More TFAB members and staff attended (23) than students (17), which means the advisory process talked to itself. </w:t>
      </w:r>
    </w:p>
    <w:p w14:paraId="0000001C"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Contrast this with ASUO’s engagement efforts during the same academic year: over 150 students attended the ASUO-hosted budget town hall at the end of Summer 2025; over 1,000 responses were collected for the 24-hour library survey in just 5 days, </w:t>
      </w:r>
      <w:r>
        <w:rPr>
          <w:rFonts w:ascii="Garamond" w:eastAsia="Garamond" w:hAnsi="Garamond" w:cs="Garamond"/>
          <w:sz w:val="28"/>
          <w:szCs w:val="28"/>
        </w:rPr>
        <w:lastRenderedPageBreak/>
        <w:t xml:space="preserve">nearly 600 responses came in for a student ticketing survey, etc. Seventeen students at a forum </w:t>
      </w:r>
      <w:r>
        <w:rPr>
          <w:rFonts w:ascii="Garamond" w:eastAsia="Garamond" w:hAnsi="Garamond" w:cs="Garamond"/>
          <w:b/>
          <w:bCs/>
          <w:sz w:val="28"/>
          <w:szCs w:val="28"/>
        </w:rPr>
        <w:t>co-hosted with administration</w:t>
      </w:r>
      <w:r>
        <w:rPr>
          <w:rFonts w:ascii="Garamond" w:eastAsia="Garamond" w:hAnsi="Garamond" w:cs="Garamond"/>
          <w:sz w:val="28"/>
          <w:szCs w:val="28"/>
        </w:rPr>
        <w:t xml:space="preserve"> </w:t>
      </w:r>
      <w:proofErr w:type="gramStart"/>
      <w:r>
        <w:rPr>
          <w:rFonts w:ascii="Garamond" w:eastAsia="Garamond" w:hAnsi="Garamond" w:cs="Garamond"/>
          <w:sz w:val="28"/>
          <w:szCs w:val="28"/>
        </w:rPr>
        <w:t>suggests</w:t>
      </w:r>
      <w:proofErr w:type="gramEnd"/>
      <w:r>
        <w:rPr>
          <w:rFonts w:ascii="Garamond" w:eastAsia="Garamond" w:hAnsi="Garamond" w:cs="Garamond"/>
          <w:sz w:val="28"/>
          <w:szCs w:val="28"/>
        </w:rPr>
        <w:t xml:space="preserve"> students either don’t trust the process, don’t believe their input will matter, or weren’t effectively reached.</w:t>
      </w:r>
    </w:p>
    <w:p w14:paraId="0000001D" w14:textId="77777777" w:rsidR="0090565B" w:rsidRDefault="00CF6F95">
      <w:pPr>
        <w:pStyle w:val="Heading1"/>
        <w:rPr>
          <w:rFonts w:ascii="Garamond" w:eastAsia="Garamond" w:hAnsi="Garamond" w:cs="Garamond"/>
          <w:color w:val="000000"/>
        </w:rPr>
      </w:pPr>
      <w:r>
        <w:rPr>
          <w:rFonts w:ascii="Garamond" w:eastAsia="Garamond" w:hAnsi="Garamond" w:cs="Garamond"/>
          <w:color w:val="000000"/>
        </w:rPr>
        <w:t>Lundquist College Differential Tuition - 150% Increase in Two Years</w:t>
      </w:r>
    </w:p>
    <w:p w14:paraId="0000001E" w14:textId="77777777" w:rsidR="0090565B" w:rsidRDefault="00CF6F95">
      <w:pPr>
        <w:spacing w:after="120"/>
        <w:rPr>
          <w:rFonts w:ascii="Garamond" w:eastAsia="Garamond" w:hAnsi="Garamond" w:cs="Garamond"/>
          <w:sz w:val="28"/>
          <w:szCs w:val="28"/>
        </w:rPr>
      </w:pPr>
      <w:r>
        <w:rPr>
          <w:rFonts w:ascii="Garamond" w:eastAsia="Garamond" w:hAnsi="Garamond" w:cs="Garamond"/>
          <w:b/>
          <w:bCs/>
          <w:sz w:val="28"/>
          <w:szCs w:val="28"/>
        </w:rPr>
        <w:t xml:space="preserve">Quoted text: </w:t>
      </w:r>
      <w:r>
        <w:rPr>
          <w:rFonts w:ascii="Garamond" w:eastAsia="Garamond" w:hAnsi="Garamond" w:cs="Garamond"/>
          <w:i/>
          <w:iCs/>
          <w:sz w:val="28"/>
          <w:szCs w:val="28"/>
        </w:rPr>
        <w:t>“Beginning fall 2026, the Lundquist College of Business is proposing to increase the differential tuition fee on undergraduate business courses from $30/credit hour to $50/credit hour. [...] The increase in differential tuition was proposed following extensive analysis of differential tuition rates at comparator schools and input from the Dean’s Council for Inter-Club Coordination. Students consulted supported the idea of high-quality faculty and student services and appreciated the college’s plans to commi</w:t>
      </w:r>
      <w:r>
        <w:rPr>
          <w:rFonts w:ascii="Garamond" w:eastAsia="Garamond" w:hAnsi="Garamond" w:cs="Garamond"/>
          <w:i/>
          <w:iCs/>
          <w:sz w:val="28"/>
          <w:szCs w:val="28"/>
        </w:rPr>
        <w:t xml:space="preserve">t some of the differential tuition revenue to support </w:t>
      </w:r>
      <w:proofErr w:type="spellStart"/>
      <w:r>
        <w:rPr>
          <w:rFonts w:ascii="Garamond" w:eastAsia="Garamond" w:hAnsi="Garamond" w:cs="Garamond"/>
          <w:i/>
          <w:iCs/>
          <w:sz w:val="28"/>
          <w:szCs w:val="28"/>
        </w:rPr>
        <w:t>PathwayOregon</w:t>
      </w:r>
      <w:proofErr w:type="spellEnd"/>
      <w:r>
        <w:rPr>
          <w:rFonts w:ascii="Garamond" w:eastAsia="Garamond" w:hAnsi="Garamond" w:cs="Garamond"/>
          <w:i/>
          <w:iCs/>
          <w:sz w:val="28"/>
          <w:szCs w:val="28"/>
        </w:rPr>
        <w:t xml:space="preserve"> fee remissions for low-income </w:t>
      </w:r>
      <w:proofErr w:type="gramStart"/>
      <w:r>
        <w:rPr>
          <w:rFonts w:ascii="Garamond" w:eastAsia="Garamond" w:hAnsi="Garamond" w:cs="Garamond"/>
          <w:i/>
          <w:iCs/>
          <w:sz w:val="28"/>
          <w:szCs w:val="28"/>
        </w:rPr>
        <w:t>students.”</w:t>
      </w:r>
      <w:proofErr w:type="gramEnd"/>
    </w:p>
    <w:p w14:paraId="0000001F"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The differential tuition has gone from $20/credit hour (where it sat from FY19 through FY25) to $30/credit hour for the 2025 </w:t>
      </w:r>
      <w:proofErr w:type="gramStart"/>
      <w:r>
        <w:rPr>
          <w:rFonts w:ascii="Garamond" w:eastAsia="Garamond" w:hAnsi="Garamond" w:cs="Garamond"/>
          <w:sz w:val="28"/>
          <w:szCs w:val="28"/>
        </w:rPr>
        <w:t>cohort, and</w:t>
      </w:r>
      <w:proofErr w:type="gramEnd"/>
      <w:r>
        <w:rPr>
          <w:rFonts w:ascii="Garamond" w:eastAsia="Garamond" w:hAnsi="Garamond" w:cs="Garamond"/>
          <w:sz w:val="28"/>
          <w:szCs w:val="28"/>
        </w:rPr>
        <w:t xml:space="preserve"> now proposes $50/credit hour for the 2026 cohort. That is literally a 150% increase in two years. For a business major completing 22 four-credit Lundquist courses, the total differential cost rises from $1,760 (at $20/credit) to $4,400 (at $50/credit)—an additional $2,640 over the course of their degree compared to two years ago. This rate of increase is not sustainable for students, regardless of what comparator institutions charge. In the discussion for this proposal, members kept comparing us</w:t>
      </w:r>
      <w:r>
        <w:rPr>
          <w:rFonts w:ascii="Garamond" w:eastAsia="Garamond" w:hAnsi="Garamond" w:cs="Garamond"/>
          <w:sz w:val="28"/>
          <w:szCs w:val="28"/>
        </w:rPr>
        <w:t xml:space="preserve"> to UC schools. UO is not a UC school. It does not hold the same level of prestige, and our obsession with keeping up with them is going to force us to continue to recommend insane increases such as this one. In 2 more years, will it have risen another 150%? This proposal is an example of the University not living within its means. If we </w:t>
      </w:r>
      <w:proofErr w:type="gramStart"/>
      <w:r>
        <w:rPr>
          <w:rFonts w:ascii="Garamond" w:eastAsia="Garamond" w:hAnsi="Garamond" w:cs="Garamond"/>
          <w:sz w:val="28"/>
          <w:szCs w:val="28"/>
        </w:rPr>
        <w:t>have to</w:t>
      </w:r>
      <w:proofErr w:type="gramEnd"/>
      <w:r>
        <w:rPr>
          <w:rFonts w:ascii="Garamond" w:eastAsia="Garamond" w:hAnsi="Garamond" w:cs="Garamond"/>
          <w:sz w:val="28"/>
          <w:szCs w:val="28"/>
        </w:rPr>
        <w:t xml:space="preserve"> increase at such a rate to “keep up with” our comparators, maybe they are not our comparators. </w:t>
      </w:r>
    </w:p>
    <w:p w14:paraId="00000020"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Several specific concerns must be raised:</w:t>
      </w:r>
    </w:p>
    <w:p w14:paraId="00000021" w14:textId="77777777" w:rsidR="0090565B" w:rsidRDefault="00CF6F95">
      <w:pPr>
        <w:numPr>
          <w:ilvl w:val="0"/>
          <w:numId w:val="1"/>
        </w:numPr>
        <w:pBdr>
          <w:top w:val="nil"/>
          <w:left w:val="nil"/>
          <w:bottom w:val="nil"/>
          <w:right w:val="nil"/>
          <w:between w:val="nil"/>
        </w:pBdr>
        <w:spacing w:after="80"/>
        <w:rPr>
          <w:sz w:val="28"/>
          <w:szCs w:val="28"/>
        </w:rPr>
      </w:pPr>
      <w:r>
        <w:rPr>
          <w:rFonts w:ascii="Garamond" w:eastAsia="Garamond" w:hAnsi="Garamond" w:cs="Garamond"/>
          <w:b/>
          <w:bCs/>
          <w:color w:val="000000"/>
          <w:sz w:val="28"/>
          <w:szCs w:val="28"/>
        </w:rPr>
        <w:t xml:space="preserve">Unrepresentative student consultation: </w:t>
      </w:r>
      <w:r>
        <w:rPr>
          <w:rFonts w:ascii="Garamond" w:eastAsia="Garamond" w:hAnsi="Garamond" w:cs="Garamond"/>
          <w:color w:val="000000"/>
          <w:sz w:val="28"/>
          <w:szCs w:val="28"/>
        </w:rPr>
        <w:t xml:space="preserve">The “student input” cited in the memo came from the Dean’s Council for Inter-Club Coordination (DCICC), which is not a democratically elected or representative student body. It represents student club leaders within the business school—students who are already invested in and benefiting from the college’s programming. It does not capture the perspectives of students from low-income backgrounds, students still in pre-major status deciding whether they can afford to pursue a business degree, or students from </w:t>
      </w:r>
      <w:r>
        <w:rPr>
          <w:rFonts w:ascii="Garamond" w:eastAsia="Garamond" w:hAnsi="Garamond" w:cs="Garamond"/>
          <w:color w:val="000000"/>
          <w:sz w:val="28"/>
          <w:szCs w:val="28"/>
        </w:rPr>
        <w:t xml:space="preserve">other colleges who take Lundquist courses </w:t>
      </w:r>
      <w:proofErr w:type="gramStart"/>
      <w:r>
        <w:rPr>
          <w:rFonts w:ascii="Garamond" w:eastAsia="Garamond" w:hAnsi="Garamond" w:cs="Garamond"/>
          <w:color w:val="000000"/>
          <w:sz w:val="28"/>
          <w:szCs w:val="28"/>
        </w:rPr>
        <w:t>and also</w:t>
      </w:r>
      <w:proofErr w:type="gramEnd"/>
      <w:r>
        <w:rPr>
          <w:rFonts w:ascii="Garamond" w:eastAsia="Garamond" w:hAnsi="Garamond" w:cs="Garamond"/>
          <w:color w:val="000000"/>
          <w:sz w:val="28"/>
          <w:szCs w:val="28"/>
        </w:rPr>
        <w:t xml:space="preserve"> pay the differential. This club is not even </w:t>
      </w:r>
      <w:r>
        <w:rPr>
          <w:rFonts w:ascii="Garamond" w:eastAsia="Garamond" w:hAnsi="Garamond" w:cs="Garamond"/>
          <w:sz w:val="28"/>
          <w:szCs w:val="28"/>
        </w:rPr>
        <w:t xml:space="preserve">ASUO-affiliated, meaning their membership, functioning, or finances are not managed by the body that represents the student body at all. </w:t>
      </w:r>
    </w:p>
    <w:p w14:paraId="00000022" w14:textId="77777777" w:rsidR="0090565B" w:rsidRDefault="00CF6F95">
      <w:pPr>
        <w:numPr>
          <w:ilvl w:val="0"/>
          <w:numId w:val="1"/>
        </w:numPr>
        <w:pBdr>
          <w:top w:val="nil"/>
          <w:left w:val="nil"/>
          <w:bottom w:val="nil"/>
          <w:right w:val="nil"/>
          <w:between w:val="nil"/>
        </w:pBdr>
        <w:spacing w:after="80"/>
        <w:rPr>
          <w:sz w:val="28"/>
          <w:szCs w:val="28"/>
        </w:rPr>
      </w:pPr>
      <w:r>
        <w:rPr>
          <w:rFonts w:ascii="Garamond" w:eastAsia="Garamond" w:hAnsi="Garamond" w:cs="Garamond"/>
          <w:b/>
          <w:bCs/>
          <w:color w:val="000000"/>
          <w:sz w:val="28"/>
          <w:szCs w:val="28"/>
        </w:rPr>
        <w:lastRenderedPageBreak/>
        <w:t xml:space="preserve">Services are not locked or exclusive: </w:t>
      </w:r>
      <w:r>
        <w:rPr>
          <w:rFonts w:ascii="Garamond" w:eastAsia="Garamond" w:hAnsi="Garamond" w:cs="Garamond"/>
          <w:color w:val="000000"/>
          <w:sz w:val="28"/>
          <w:szCs w:val="28"/>
        </w:rPr>
        <w:t xml:space="preserve">If the business school wants to charge premium rates, it needs to demonstrate </w:t>
      </w:r>
      <w:r>
        <w:rPr>
          <w:rFonts w:ascii="Garamond" w:eastAsia="Garamond" w:hAnsi="Garamond" w:cs="Garamond"/>
          <w:sz w:val="28"/>
          <w:szCs w:val="28"/>
        </w:rPr>
        <w:t>more l</w:t>
      </w:r>
      <w:r>
        <w:rPr>
          <w:rFonts w:ascii="Garamond" w:eastAsia="Garamond" w:hAnsi="Garamond" w:cs="Garamond"/>
          <w:color w:val="000000"/>
          <w:sz w:val="28"/>
          <w:szCs w:val="28"/>
        </w:rPr>
        <w:t>ocked, exclusive services that justify the cost. Currently, many of the services cited in the proposal</w:t>
      </w:r>
      <w:r>
        <w:rPr>
          <w:rFonts w:ascii="Garamond" w:eastAsia="Garamond" w:hAnsi="Garamond" w:cs="Garamond"/>
          <w:sz w:val="28"/>
          <w:szCs w:val="28"/>
        </w:rPr>
        <w:t xml:space="preserve">, </w:t>
      </w:r>
      <w:r>
        <w:rPr>
          <w:rFonts w:ascii="Garamond" w:eastAsia="Garamond" w:hAnsi="Garamond" w:cs="Garamond"/>
          <w:color w:val="000000"/>
          <w:sz w:val="28"/>
          <w:szCs w:val="28"/>
        </w:rPr>
        <w:t xml:space="preserve">tutoring, Professional Edge micro-credentials, employer connection events, and student clubs—are available to students across campus, including business minors and non-majors. The differential functions </w:t>
      </w:r>
      <w:proofErr w:type="gramStart"/>
      <w:r>
        <w:rPr>
          <w:rFonts w:ascii="Garamond" w:eastAsia="Garamond" w:hAnsi="Garamond" w:cs="Garamond"/>
          <w:color w:val="000000"/>
          <w:sz w:val="28"/>
          <w:szCs w:val="28"/>
        </w:rPr>
        <w:t>more</w:t>
      </w:r>
      <w:proofErr w:type="gramEnd"/>
      <w:r>
        <w:rPr>
          <w:rFonts w:ascii="Garamond" w:eastAsia="Garamond" w:hAnsi="Garamond" w:cs="Garamond"/>
          <w:color w:val="000000"/>
          <w:sz w:val="28"/>
          <w:szCs w:val="28"/>
        </w:rPr>
        <w:t xml:space="preserve"> like a surcharge on popular courses than a fee for exclusive services. If the college is going to charge 150% more t</w:t>
      </w:r>
      <w:r>
        <w:rPr>
          <w:rFonts w:ascii="Garamond" w:eastAsia="Garamond" w:hAnsi="Garamond" w:cs="Garamond"/>
          <w:color w:val="000000"/>
          <w:sz w:val="28"/>
          <w:szCs w:val="28"/>
        </w:rPr>
        <w:t>han it did two years ago, it should be required to articulate exactly which services are exclusive to differential-paying students and ensure those services are meaningfully distinct.</w:t>
      </w:r>
    </w:p>
    <w:p w14:paraId="00000023" w14:textId="77777777" w:rsidR="0090565B" w:rsidRDefault="00CF6F95">
      <w:pPr>
        <w:numPr>
          <w:ilvl w:val="0"/>
          <w:numId w:val="1"/>
        </w:numPr>
        <w:pBdr>
          <w:top w:val="nil"/>
          <w:left w:val="nil"/>
          <w:bottom w:val="nil"/>
          <w:right w:val="nil"/>
          <w:between w:val="nil"/>
        </w:pBdr>
        <w:spacing w:after="100"/>
        <w:rPr>
          <w:sz w:val="28"/>
          <w:szCs w:val="28"/>
        </w:rPr>
      </w:pPr>
      <w:r>
        <w:rPr>
          <w:rFonts w:ascii="Garamond" w:eastAsia="Garamond" w:hAnsi="Garamond" w:cs="Garamond"/>
          <w:b/>
          <w:bCs/>
          <w:color w:val="000000"/>
          <w:sz w:val="28"/>
          <w:szCs w:val="28"/>
        </w:rPr>
        <w:t xml:space="preserve">Context of institutional crisis: </w:t>
      </w:r>
      <w:r>
        <w:rPr>
          <w:rFonts w:ascii="Garamond" w:eastAsia="Garamond" w:hAnsi="Garamond" w:cs="Garamond"/>
          <w:color w:val="000000"/>
          <w:sz w:val="28"/>
          <w:szCs w:val="28"/>
        </w:rPr>
        <w:t xml:space="preserve">This increase is being proposed in the same year that the university cut 176 positions, told students the institution is in financial crisis, and is asking for a 4.5% base tuition increase on top. Asking business students to absorb a 67% per-credit differential increase on top of everything else sends a message about whose costs are being prioritized and whose are being passed through. </w:t>
      </w:r>
      <w:r>
        <w:rPr>
          <w:rFonts w:ascii="Garamond" w:eastAsia="Garamond" w:hAnsi="Garamond" w:cs="Garamond"/>
          <w:sz w:val="28"/>
          <w:szCs w:val="28"/>
        </w:rPr>
        <w:t xml:space="preserve">This was extremely disappointing to hear as students </w:t>
      </w:r>
    </w:p>
    <w:p w14:paraId="00000024" w14:textId="77777777" w:rsidR="0090565B" w:rsidRDefault="0090565B">
      <w:pPr>
        <w:spacing w:after="100"/>
        <w:rPr>
          <w:rFonts w:ascii="Garamond" w:eastAsia="Garamond" w:hAnsi="Garamond" w:cs="Garamond"/>
          <w:sz w:val="28"/>
          <w:szCs w:val="28"/>
        </w:rPr>
      </w:pPr>
    </w:p>
    <w:p w14:paraId="00000025" w14:textId="77777777" w:rsidR="0090565B" w:rsidRDefault="00CF6F95">
      <w:pPr>
        <w:spacing w:after="100"/>
        <w:rPr>
          <w:rFonts w:ascii="Garamond" w:eastAsia="Garamond" w:hAnsi="Garamond" w:cs="Garamond"/>
          <w:sz w:val="28"/>
          <w:szCs w:val="28"/>
        </w:rPr>
      </w:pPr>
      <w:r>
        <w:rPr>
          <w:rFonts w:ascii="Garamond" w:eastAsia="Garamond" w:hAnsi="Garamond" w:cs="Garamond"/>
          <w:sz w:val="28"/>
          <w:szCs w:val="28"/>
        </w:rPr>
        <w:t xml:space="preserve">It is also worth noting the historical precedent: the University Senate’s own motion on differential tuition documents that when the Lundquist differential was first proposed in 2017–18, TFAB “could not reach agreement” and “ended up making no recommendation.” </w:t>
      </w:r>
      <w:r>
        <w:rPr>
          <w:rFonts w:ascii="Garamond" w:eastAsia="Garamond" w:hAnsi="Garamond" w:cs="Garamond"/>
          <w:i/>
          <w:iCs/>
          <w:color w:val="2E5D8A"/>
          <w:sz w:val="28"/>
          <w:szCs w:val="28"/>
        </w:rPr>
        <w:t>[</w:t>
      </w:r>
      <w:hyperlink r:id="rId8">
        <w:r>
          <w:rPr>
            <w:rFonts w:ascii="Garamond" w:eastAsia="Garamond" w:hAnsi="Garamond" w:cs="Garamond"/>
            <w:color w:val="2E5D8A"/>
            <w:sz w:val="28"/>
            <w:szCs w:val="28"/>
            <w:u w:val="single"/>
          </w:rPr>
          <w:t>UO Senate Motion US17/18-20</w:t>
        </w:r>
      </w:hyperlink>
      <w:r>
        <w:rPr>
          <w:rFonts w:ascii="Garamond" w:eastAsia="Garamond" w:hAnsi="Garamond" w:cs="Garamond"/>
          <w:i/>
          <w:iCs/>
          <w:color w:val="2E5D8A"/>
          <w:sz w:val="28"/>
          <w:szCs w:val="28"/>
        </w:rPr>
        <w:t xml:space="preserve">]  </w:t>
      </w:r>
      <w:r>
        <w:rPr>
          <w:rFonts w:ascii="Garamond" w:eastAsia="Garamond" w:hAnsi="Garamond" w:cs="Garamond"/>
          <w:sz w:val="28"/>
          <w:szCs w:val="28"/>
        </w:rPr>
        <w:t xml:space="preserve">President Schill accepted the proposal anyway and recommended it to the Board, which adopted it. This precedent demonstrates that TFAB’s recommendations, or lack thereof, do not meaningfully constrain presidential or Board action, further undermining the case that TFAB provides genuine shared governance. </w:t>
      </w:r>
    </w:p>
    <w:p w14:paraId="00000026" w14:textId="77777777" w:rsidR="0090565B" w:rsidRDefault="0090565B">
      <w:pPr>
        <w:pStyle w:val="Heading1"/>
      </w:pPr>
    </w:p>
    <w:p w14:paraId="00000027" w14:textId="77777777" w:rsidR="0090565B" w:rsidRDefault="0090565B">
      <w:pPr>
        <w:spacing w:after="200"/>
      </w:pPr>
    </w:p>
    <w:sectPr w:rsidR="0090565B">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1B2CF32-26AF-4286-A081-ADAFE7B839DF}"/>
  </w:font>
  <w:font w:name="Garamond">
    <w:panose1 w:val="02020404030301010803"/>
    <w:charset w:val="00"/>
    <w:family w:val="roman"/>
    <w:pitch w:val="variable"/>
    <w:sig w:usb0="00000287" w:usb1="00000000" w:usb2="00000000" w:usb3="00000000" w:csb0="0000009F" w:csb1="00000000"/>
    <w:embedRegular r:id="rId2" w:fontKey="{0626E081-21E5-483E-87B8-CC9DF4573CC3}"/>
    <w:embedBold r:id="rId3" w:fontKey="{5ABBD561-BB0E-40A7-854C-26EB0532885C}"/>
    <w:embedItalic r:id="rId4" w:fontKey="{EA390E13-1EAE-482A-8544-E8304D218319}"/>
  </w:font>
  <w:font w:name="Calibri">
    <w:panose1 w:val="020F0502020204030204"/>
    <w:charset w:val="00"/>
    <w:family w:val="swiss"/>
    <w:pitch w:val="variable"/>
    <w:sig w:usb0="E4002EFF" w:usb1="C200247B" w:usb2="00000009" w:usb3="00000000" w:csb0="000001FF" w:csb1="00000000"/>
    <w:embedRegular r:id="rId5" w:fontKey="{3646D6CE-FB47-4C06-92FC-472DDBD58BAA}"/>
  </w:font>
  <w:font w:name="Cambria">
    <w:panose1 w:val="02040503050406030204"/>
    <w:charset w:val="00"/>
    <w:family w:val="roman"/>
    <w:pitch w:val="variable"/>
    <w:sig w:usb0="E00006FF" w:usb1="420024FF" w:usb2="02000000" w:usb3="00000000" w:csb0="0000019F" w:csb1="00000000"/>
    <w:embedRegular r:id="rId6" w:fontKey="{8833E5B1-05B0-4108-922E-08043A1D9A5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C67FE"/>
    <w:multiLevelType w:val="multilevel"/>
    <w:tmpl w:val="A5203D84"/>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4DD2BCA"/>
    <w:multiLevelType w:val="multilevel"/>
    <w:tmpl w:val="2A987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9851027">
    <w:abstractNumId w:val="0"/>
  </w:num>
  <w:num w:numId="2" w16cid:durableId="1151561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65B"/>
    <w:rsid w:val="00191DD9"/>
    <w:rsid w:val="007D3B60"/>
    <w:rsid w:val="0090565B"/>
    <w:rsid w:val="00CF6F95"/>
    <w:rsid w:val="00E7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CC89"/>
  <w15:docId w15:val="{6B4963C1-3A72-4F81-86E1-E9CCFDAC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200"/>
      <w:outlineLvl w:val="0"/>
    </w:pPr>
    <w:rPr>
      <w:b/>
      <w:bCs/>
      <w:color w:val="1B3A5C"/>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spacing w:before="300" w:after="160"/>
      <w:outlineLvl w:val="1"/>
    </w:pPr>
    <w:rPr>
      <w:b/>
      <w:bCs/>
      <w:color w:val="2E5D8A"/>
      <w:sz w:val="28"/>
      <w:szCs w:val="28"/>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table" w:customStyle="1" w:styleId="TableNormal1">
    <w:name w:val="TableNormal"/>
    <w:tblPr>
      <w:tblCellMar>
        <w:top w:w="100" w:type="dxa"/>
        <w:left w:w="100" w:type="dxa"/>
        <w:bottom w:w="100" w:type="dxa"/>
        <w:right w:w="100" w:type="dxa"/>
      </w:tblCellMar>
    </w:tbl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nate.uoregon.edu/senate-motions/us1718-20-process-determination-implemenation-differential-tuition" TargetMode="External"/><Relationship Id="rId3" Type="http://schemas.openxmlformats.org/officeDocument/2006/relationships/styles" Target="styles.xml"/><Relationship Id="rId7" Type="http://schemas.openxmlformats.org/officeDocument/2006/relationships/hyperlink" Target="https://docs.google.com/document/d/1eG0G5O15pSq9I91XFSWNy3r8pZ0NjkyxpGaN4zsdv-o/edit?tab=t.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document/d/17czsQTtkOR-CLFIJPLbCKfwSm5MsT2a7cM2Ov6-49eo/edit?tab=t.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TD5axO8Bl5AqtUwY7u7qMBLcg==">CgMxLjA4AHIhMTl0blVoaVRpdmdWa1d1VUdyb1ZOcDE2aE9CbVRqNXFq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1835</Words>
  <Characters>10463</Characters>
  <Application>Microsoft Office Word</Application>
  <DocSecurity>0</DocSecurity>
  <Lines>87</Lines>
  <Paragraphs>24</Paragraphs>
  <ScaleCrop>false</ScaleCrop>
  <Company>University of Oregon</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Debbie Sharp</cp:lastModifiedBy>
  <cp:revision>4</cp:revision>
  <dcterms:created xsi:type="dcterms:W3CDTF">2026-02-13T00:30:00Z</dcterms:created>
  <dcterms:modified xsi:type="dcterms:W3CDTF">2026-02-13T20:05:00Z</dcterms:modified>
</cp:coreProperties>
</file>