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60641" w14:textId="77777777" w:rsidR="00AC5DAC" w:rsidRPr="0028676E" w:rsidRDefault="00AC5DAC" w:rsidP="0028676E">
      <w:pPr>
        <w:pStyle w:val="paragraph"/>
        <w:spacing w:before="0" w:beforeAutospacing="0" w:after="0" w:afterAutospacing="0"/>
        <w:jc w:val="right"/>
        <w:textAlignment w:val="baseline"/>
        <w:rPr>
          <w:rFonts w:ascii="Calibri" w:hAnsi="Calibri" w:cs="Calibri"/>
        </w:rPr>
      </w:pPr>
      <w:r w:rsidRPr="0028676E">
        <w:rPr>
          <w:rStyle w:val="normaltextrun"/>
          <w:rFonts w:ascii="Calibri" w:hAnsi="Calibri" w:cs="Calibri"/>
          <w:b/>
          <w:bCs/>
        </w:rPr>
        <w:t>Tuition</w:t>
      </w:r>
      <w:r w:rsidRPr="0028676E">
        <w:rPr>
          <w:rStyle w:val="apple-converted-space"/>
          <w:rFonts w:ascii="Calibri" w:hAnsi="Calibri" w:cs="Calibri"/>
          <w:b/>
          <w:bCs/>
        </w:rPr>
        <w:t> </w:t>
      </w:r>
      <w:r w:rsidRPr="0028676E">
        <w:rPr>
          <w:rStyle w:val="normaltextrun"/>
          <w:rFonts w:ascii="Calibri" w:hAnsi="Calibri" w:cs="Calibri"/>
          <w:b/>
          <w:bCs/>
        </w:rPr>
        <w:t>and Fee</w:t>
      </w:r>
      <w:r w:rsidRPr="0028676E">
        <w:rPr>
          <w:rStyle w:val="apple-converted-space"/>
          <w:rFonts w:ascii="Calibri" w:hAnsi="Calibri" w:cs="Calibri"/>
          <w:b/>
          <w:bCs/>
        </w:rPr>
        <w:t> </w:t>
      </w:r>
      <w:r w:rsidRPr="0028676E">
        <w:rPr>
          <w:rStyle w:val="normaltextrun"/>
          <w:rFonts w:ascii="Calibri" w:hAnsi="Calibri" w:cs="Calibri"/>
          <w:b/>
          <w:bCs/>
        </w:rPr>
        <w:t>Advisory Board of</w:t>
      </w:r>
      <w:r w:rsidRPr="0028676E">
        <w:rPr>
          <w:rStyle w:val="apple-converted-space"/>
          <w:rFonts w:ascii="Calibri" w:hAnsi="Calibri" w:cs="Calibri"/>
          <w:b/>
          <w:bCs/>
        </w:rPr>
        <w:t> </w:t>
      </w:r>
      <w:r w:rsidRPr="0028676E">
        <w:rPr>
          <w:rStyle w:val="normaltextrun"/>
          <w:rFonts w:ascii="Calibri" w:hAnsi="Calibri" w:cs="Calibri"/>
          <w:b/>
          <w:bCs/>
        </w:rPr>
        <w:t>the University of Oregon</w:t>
      </w:r>
      <w:r w:rsidRPr="0028676E">
        <w:rPr>
          <w:rStyle w:val="eop"/>
          <w:rFonts w:ascii="Calibri" w:hAnsi="Calibri" w:cs="Calibri"/>
        </w:rPr>
        <w:t> </w:t>
      </w:r>
    </w:p>
    <w:p w14:paraId="591AD184" w14:textId="6CFE9B1D" w:rsidR="00AC5DAC" w:rsidRPr="0028676E" w:rsidRDefault="00AC5DAC" w:rsidP="0028676E">
      <w:pPr>
        <w:pStyle w:val="paragraph"/>
        <w:pBdr>
          <w:bottom w:val="single" w:sz="6" w:space="1" w:color="auto"/>
        </w:pBdr>
        <w:spacing w:before="0" w:beforeAutospacing="0" w:after="0" w:afterAutospacing="0"/>
        <w:jc w:val="right"/>
        <w:textAlignment w:val="baseline"/>
        <w:rPr>
          <w:rStyle w:val="eop"/>
          <w:rFonts w:ascii="Calibri" w:hAnsi="Calibri" w:cs="Calibri"/>
        </w:rPr>
      </w:pPr>
      <w:r w:rsidRPr="0028676E">
        <w:rPr>
          <w:rStyle w:val="normaltextrun"/>
          <w:rFonts w:ascii="Calibri" w:hAnsi="Calibri" w:cs="Calibri"/>
          <w:b/>
          <w:bCs/>
        </w:rPr>
        <w:t xml:space="preserve">Meeting Summary | </w:t>
      </w:r>
      <w:r w:rsidR="004500BF" w:rsidRPr="0028676E">
        <w:rPr>
          <w:rStyle w:val="normaltextrun"/>
          <w:rFonts w:ascii="Calibri" w:hAnsi="Calibri" w:cs="Calibri"/>
          <w:b/>
          <w:bCs/>
        </w:rPr>
        <w:t xml:space="preserve">January </w:t>
      </w:r>
      <w:r w:rsidR="00796DEB">
        <w:rPr>
          <w:rStyle w:val="normaltextrun"/>
          <w:rFonts w:ascii="Calibri" w:hAnsi="Calibri" w:cs="Calibri"/>
          <w:b/>
          <w:bCs/>
        </w:rPr>
        <w:t>17</w:t>
      </w:r>
      <w:r w:rsidRPr="0028676E">
        <w:rPr>
          <w:rStyle w:val="normaltextrun"/>
          <w:rFonts w:ascii="Calibri" w:hAnsi="Calibri" w:cs="Calibri"/>
          <w:b/>
          <w:bCs/>
        </w:rPr>
        <w:t>, 202</w:t>
      </w:r>
      <w:r w:rsidR="002B6F79" w:rsidRPr="0028676E">
        <w:rPr>
          <w:rStyle w:val="normaltextrun"/>
          <w:rFonts w:ascii="Calibri" w:hAnsi="Calibri" w:cs="Calibri"/>
          <w:b/>
          <w:bCs/>
        </w:rPr>
        <w:t>5</w:t>
      </w:r>
    </w:p>
    <w:p w14:paraId="74E48FFD" w14:textId="77777777" w:rsidR="00AC5DAC" w:rsidRPr="0028676E" w:rsidRDefault="00AC5DAC" w:rsidP="0028676E">
      <w:pPr>
        <w:pStyle w:val="paragraph"/>
        <w:spacing w:before="0" w:beforeAutospacing="0" w:after="0" w:afterAutospacing="0"/>
        <w:jc w:val="both"/>
        <w:textAlignment w:val="baseline"/>
        <w:rPr>
          <w:rFonts w:ascii="Calibri" w:hAnsi="Calibri" w:cs="Calibri"/>
        </w:rPr>
      </w:pPr>
      <w:r w:rsidRPr="0028676E">
        <w:rPr>
          <w:rStyle w:val="eop"/>
          <w:rFonts w:ascii="Calibri" w:hAnsi="Calibri" w:cs="Calibri"/>
        </w:rPr>
        <w:t> </w:t>
      </w:r>
    </w:p>
    <w:p w14:paraId="3F9027A9" w14:textId="3C3FE5E5" w:rsidR="00AC5DAC" w:rsidRPr="0028676E" w:rsidRDefault="00AC5DAC" w:rsidP="0028676E">
      <w:pPr>
        <w:spacing w:line="240" w:lineRule="auto"/>
        <w:rPr>
          <w:rFonts w:ascii="Calibri" w:eastAsia="Calibri" w:hAnsi="Calibri" w:cs="Calibri"/>
          <w:bCs/>
          <w:sz w:val="24"/>
          <w:szCs w:val="24"/>
        </w:rPr>
      </w:pPr>
      <w:r w:rsidRPr="0028676E">
        <w:rPr>
          <w:rFonts w:ascii="Calibri" w:eastAsia="Calibri" w:hAnsi="Calibri" w:cs="Calibri"/>
          <w:bCs/>
          <w:sz w:val="24"/>
          <w:szCs w:val="24"/>
        </w:rPr>
        <w:t>The 202</w:t>
      </w:r>
      <w:r w:rsidR="002B6F79" w:rsidRPr="0028676E">
        <w:rPr>
          <w:rFonts w:ascii="Calibri" w:eastAsia="Calibri" w:hAnsi="Calibri" w:cs="Calibri"/>
          <w:bCs/>
          <w:sz w:val="24"/>
          <w:szCs w:val="24"/>
        </w:rPr>
        <w:t>4</w:t>
      </w:r>
      <w:r w:rsidRPr="0028676E">
        <w:rPr>
          <w:rFonts w:ascii="Calibri" w:eastAsia="Calibri" w:hAnsi="Calibri" w:cs="Calibri"/>
          <w:bCs/>
          <w:sz w:val="24"/>
          <w:szCs w:val="24"/>
        </w:rPr>
        <w:t>–202</w:t>
      </w:r>
      <w:r w:rsidR="002B6F79" w:rsidRPr="0028676E">
        <w:rPr>
          <w:rFonts w:ascii="Calibri" w:eastAsia="Calibri" w:hAnsi="Calibri" w:cs="Calibri"/>
          <w:bCs/>
          <w:sz w:val="24"/>
          <w:szCs w:val="24"/>
        </w:rPr>
        <w:t>5</w:t>
      </w:r>
      <w:r w:rsidRPr="0028676E">
        <w:rPr>
          <w:rFonts w:ascii="Calibri" w:eastAsia="Calibri" w:hAnsi="Calibri" w:cs="Calibri"/>
          <w:bCs/>
          <w:sz w:val="24"/>
          <w:szCs w:val="24"/>
        </w:rPr>
        <w:t xml:space="preserve"> Tuition and Fee Advisory Board (TFAB) of the University of Oregon met in </w:t>
      </w:r>
      <w:r w:rsidR="002B6F79" w:rsidRPr="0028676E">
        <w:rPr>
          <w:rFonts w:ascii="Calibri" w:eastAsia="Calibri" w:hAnsi="Calibri" w:cs="Calibri"/>
          <w:bCs/>
          <w:sz w:val="24"/>
          <w:szCs w:val="24"/>
        </w:rPr>
        <w:t xml:space="preserve">the </w:t>
      </w:r>
      <w:r w:rsidR="00796DEB">
        <w:rPr>
          <w:rFonts w:ascii="Calibri" w:eastAsia="Calibri" w:hAnsi="Calibri" w:cs="Calibri"/>
          <w:bCs/>
          <w:sz w:val="24"/>
          <w:szCs w:val="24"/>
        </w:rPr>
        <w:t xml:space="preserve">Miller Room 107 </w:t>
      </w:r>
      <w:r w:rsidR="004500BF" w:rsidRPr="0028676E">
        <w:rPr>
          <w:rFonts w:ascii="Calibri" w:eastAsia="Calibri" w:hAnsi="Calibri" w:cs="Calibri"/>
          <w:bCs/>
          <w:sz w:val="24"/>
          <w:szCs w:val="24"/>
        </w:rPr>
        <w:t>of the Erb Memorial Union (EMU)</w:t>
      </w:r>
      <w:r w:rsidR="0056437E" w:rsidRPr="0028676E">
        <w:rPr>
          <w:rFonts w:ascii="Calibri" w:eastAsia="Calibri" w:hAnsi="Calibri" w:cs="Calibri"/>
          <w:bCs/>
          <w:sz w:val="24"/>
          <w:szCs w:val="24"/>
        </w:rPr>
        <w:t xml:space="preserve"> </w:t>
      </w:r>
      <w:r w:rsidRPr="0028676E">
        <w:rPr>
          <w:rFonts w:ascii="Calibri" w:eastAsia="Calibri" w:hAnsi="Calibri" w:cs="Calibri"/>
          <w:bCs/>
          <w:sz w:val="24"/>
          <w:szCs w:val="24"/>
        </w:rPr>
        <w:t xml:space="preserve">at </w:t>
      </w:r>
      <w:r w:rsidR="00796DEB">
        <w:rPr>
          <w:rFonts w:ascii="Calibri" w:eastAsia="Calibri" w:hAnsi="Calibri" w:cs="Calibri"/>
          <w:bCs/>
          <w:sz w:val="24"/>
          <w:szCs w:val="24"/>
        </w:rPr>
        <w:t>9</w:t>
      </w:r>
      <w:r w:rsidRPr="0028676E">
        <w:rPr>
          <w:rFonts w:ascii="Calibri" w:eastAsia="Calibri" w:hAnsi="Calibri" w:cs="Calibri"/>
          <w:bCs/>
          <w:sz w:val="24"/>
          <w:szCs w:val="24"/>
        </w:rPr>
        <w:t>:</w:t>
      </w:r>
      <w:r w:rsidR="0056437E" w:rsidRPr="0028676E">
        <w:rPr>
          <w:rFonts w:ascii="Calibri" w:eastAsia="Calibri" w:hAnsi="Calibri" w:cs="Calibri"/>
          <w:bCs/>
          <w:sz w:val="24"/>
          <w:szCs w:val="24"/>
        </w:rPr>
        <w:t>00</w:t>
      </w:r>
      <w:r w:rsidRPr="0028676E">
        <w:rPr>
          <w:rFonts w:ascii="Calibri" w:eastAsia="Calibri" w:hAnsi="Calibri" w:cs="Calibri"/>
          <w:bCs/>
          <w:sz w:val="24"/>
          <w:szCs w:val="24"/>
        </w:rPr>
        <w:t xml:space="preserve"> </w:t>
      </w:r>
      <w:r w:rsidR="00796DEB">
        <w:rPr>
          <w:rFonts w:ascii="Calibri" w:eastAsia="Calibri" w:hAnsi="Calibri" w:cs="Calibri"/>
          <w:bCs/>
          <w:sz w:val="24"/>
          <w:szCs w:val="24"/>
        </w:rPr>
        <w:t>a</w:t>
      </w:r>
      <w:r w:rsidRPr="0028676E">
        <w:rPr>
          <w:rFonts w:ascii="Calibri" w:eastAsia="Calibri" w:hAnsi="Calibri" w:cs="Calibri"/>
          <w:bCs/>
          <w:sz w:val="24"/>
          <w:szCs w:val="24"/>
        </w:rPr>
        <w:t xml:space="preserve">.m. on </w:t>
      </w:r>
      <w:r w:rsidR="00796DEB">
        <w:rPr>
          <w:rFonts w:ascii="Calibri" w:eastAsia="Calibri" w:hAnsi="Calibri" w:cs="Calibri"/>
          <w:bCs/>
          <w:sz w:val="24"/>
          <w:szCs w:val="24"/>
        </w:rPr>
        <w:t>Friday</w:t>
      </w:r>
      <w:r w:rsidR="0056437E" w:rsidRPr="0028676E">
        <w:rPr>
          <w:rFonts w:ascii="Calibri" w:eastAsia="Calibri" w:hAnsi="Calibri" w:cs="Calibri"/>
          <w:bCs/>
          <w:sz w:val="24"/>
          <w:szCs w:val="24"/>
        </w:rPr>
        <w:t xml:space="preserve">, </w:t>
      </w:r>
      <w:r w:rsidR="004500BF" w:rsidRPr="0028676E">
        <w:rPr>
          <w:rFonts w:ascii="Calibri" w:eastAsia="Calibri" w:hAnsi="Calibri" w:cs="Calibri"/>
          <w:bCs/>
          <w:sz w:val="24"/>
          <w:szCs w:val="24"/>
        </w:rPr>
        <w:t xml:space="preserve">January </w:t>
      </w:r>
      <w:r w:rsidR="00796DEB">
        <w:rPr>
          <w:rFonts w:ascii="Calibri" w:eastAsia="Calibri" w:hAnsi="Calibri" w:cs="Calibri"/>
          <w:bCs/>
          <w:sz w:val="24"/>
          <w:szCs w:val="24"/>
        </w:rPr>
        <w:t>17</w:t>
      </w:r>
      <w:r w:rsidRPr="0028676E">
        <w:rPr>
          <w:rFonts w:ascii="Calibri" w:eastAsia="Calibri" w:hAnsi="Calibri" w:cs="Calibri"/>
          <w:bCs/>
          <w:sz w:val="24"/>
          <w:szCs w:val="24"/>
        </w:rPr>
        <w:t>, 202</w:t>
      </w:r>
      <w:r w:rsidR="002B6F79" w:rsidRPr="0028676E">
        <w:rPr>
          <w:rFonts w:ascii="Calibri" w:eastAsia="Calibri" w:hAnsi="Calibri" w:cs="Calibri"/>
          <w:bCs/>
          <w:sz w:val="24"/>
          <w:szCs w:val="24"/>
        </w:rPr>
        <w:t>5</w:t>
      </w:r>
      <w:r w:rsidRPr="0028676E">
        <w:rPr>
          <w:rFonts w:ascii="Calibri" w:eastAsia="Calibri" w:hAnsi="Calibri" w:cs="Calibri"/>
          <w:bCs/>
          <w:sz w:val="24"/>
          <w:szCs w:val="24"/>
        </w:rPr>
        <w:t xml:space="preserve">. A remote option was available by request; </w:t>
      </w:r>
      <w:r w:rsidR="00796DEB">
        <w:rPr>
          <w:rFonts w:ascii="Calibri" w:eastAsia="Calibri" w:hAnsi="Calibri" w:cs="Calibri"/>
          <w:bCs/>
          <w:sz w:val="24"/>
          <w:szCs w:val="24"/>
        </w:rPr>
        <w:t xml:space="preserve">one person </w:t>
      </w:r>
      <w:r w:rsidRPr="0028676E">
        <w:rPr>
          <w:rFonts w:ascii="Calibri" w:eastAsia="Calibri" w:hAnsi="Calibri" w:cs="Calibri"/>
          <w:bCs/>
          <w:sz w:val="24"/>
          <w:szCs w:val="24"/>
        </w:rPr>
        <w:t xml:space="preserve">attended the meeting remotely. Below is a summary of the meeting; documents discussed during the session are available </w:t>
      </w:r>
      <w:hyperlink r:id="rId7" w:history="1">
        <w:r w:rsidRPr="0028676E">
          <w:rPr>
            <w:rStyle w:val="Hyperlink"/>
            <w:rFonts w:ascii="Calibri" w:eastAsia="Calibri" w:hAnsi="Calibri" w:cs="Calibri"/>
            <w:bCs/>
            <w:sz w:val="24"/>
            <w:szCs w:val="24"/>
          </w:rPr>
          <w:t>online</w:t>
        </w:r>
      </w:hyperlink>
      <w:r w:rsidRPr="0028676E">
        <w:rPr>
          <w:rFonts w:ascii="Calibri" w:eastAsia="Calibri" w:hAnsi="Calibri" w:cs="Calibri"/>
          <w:bCs/>
          <w:sz w:val="24"/>
          <w:szCs w:val="24"/>
        </w:rPr>
        <w:t>.</w:t>
      </w:r>
    </w:p>
    <w:p w14:paraId="3BE77F22" w14:textId="215DC548" w:rsidR="004500BF" w:rsidRPr="0028676E" w:rsidRDefault="0056437E" w:rsidP="0028676E">
      <w:pPr>
        <w:spacing w:line="240" w:lineRule="auto"/>
        <w:rPr>
          <w:rFonts w:eastAsia="Times New Roman" w:cs="Times New Roman"/>
          <w:sz w:val="24"/>
          <w:szCs w:val="24"/>
        </w:rPr>
      </w:pPr>
      <w:r w:rsidRPr="0028676E">
        <w:rPr>
          <w:rFonts w:cs="Times New Roman"/>
          <w:b/>
          <w:sz w:val="24"/>
          <w:szCs w:val="24"/>
        </w:rPr>
        <w:t>Attending</w:t>
      </w:r>
      <w:r w:rsidRPr="0028676E">
        <w:rPr>
          <w:rFonts w:cs="Times New Roman"/>
          <w:sz w:val="24"/>
          <w:szCs w:val="24"/>
        </w:rPr>
        <w:t xml:space="preserve">: </w:t>
      </w:r>
      <w:r w:rsidR="002B6F79" w:rsidRPr="0028676E">
        <w:rPr>
          <w:rFonts w:cs="Times New Roman"/>
          <w:sz w:val="24"/>
          <w:szCs w:val="24"/>
        </w:rPr>
        <w:t xml:space="preserve">Sara Allison, Krista Borg, Angela Chong (co-chair), Mark Diestler, Brian Fox, </w:t>
      </w:r>
      <w:r w:rsidR="00C148D3">
        <w:rPr>
          <w:rFonts w:cs="Times New Roman"/>
          <w:sz w:val="24"/>
          <w:szCs w:val="24"/>
        </w:rPr>
        <w:t xml:space="preserve">Michael Griffel (guest), </w:t>
      </w:r>
      <w:r w:rsidR="001849A4">
        <w:rPr>
          <w:rFonts w:cs="Times New Roman"/>
          <w:sz w:val="24"/>
          <w:szCs w:val="24"/>
        </w:rPr>
        <w:t>Carol Hardy</w:t>
      </w:r>
      <w:r w:rsidR="002F1236">
        <w:rPr>
          <w:rFonts w:cs="Times New Roman"/>
          <w:sz w:val="24"/>
          <w:szCs w:val="24"/>
        </w:rPr>
        <w:t xml:space="preserve"> (guest)</w:t>
      </w:r>
      <w:r w:rsidR="001849A4">
        <w:rPr>
          <w:rFonts w:cs="Times New Roman"/>
          <w:sz w:val="24"/>
          <w:szCs w:val="24"/>
        </w:rPr>
        <w:t xml:space="preserve">, George Helbing (guest), </w:t>
      </w:r>
      <w:r w:rsidR="00796DEB">
        <w:rPr>
          <w:rFonts w:cs="Times New Roman"/>
          <w:sz w:val="24"/>
          <w:szCs w:val="24"/>
        </w:rPr>
        <w:t xml:space="preserve">Lamia Karim, </w:t>
      </w:r>
      <w:r w:rsidR="002B6F79" w:rsidRPr="0028676E">
        <w:rPr>
          <w:rFonts w:cs="Times New Roman"/>
          <w:sz w:val="24"/>
          <w:szCs w:val="24"/>
        </w:rPr>
        <w:t xml:space="preserve">Justin Krier, Bruce McGough, Laura Lee McIntyre, Jamie Moffitt (co-chair), JP Monroe, </w:t>
      </w:r>
      <w:r w:rsidR="001849A4" w:rsidRPr="0028676E">
        <w:rPr>
          <w:rFonts w:cs="Times New Roman"/>
          <w:sz w:val="24"/>
          <w:szCs w:val="24"/>
        </w:rPr>
        <w:t xml:space="preserve">Huntyr </w:t>
      </w:r>
      <w:r w:rsidR="001849A4">
        <w:rPr>
          <w:rFonts w:cs="Times New Roman"/>
          <w:sz w:val="24"/>
          <w:szCs w:val="24"/>
        </w:rPr>
        <w:t>Morgan</w:t>
      </w:r>
      <w:r w:rsidR="001849A4" w:rsidRPr="0028676E">
        <w:rPr>
          <w:rFonts w:cs="Times New Roman"/>
          <w:sz w:val="24"/>
          <w:szCs w:val="24"/>
        </w:rPr>
        <w:t xml:space="preserve">, </w:t>
      </w:r>
      <w:r w:rsidR="00633FD7">
        <w:rPr>
          <w:rFonts w:cs="Times New Roman"/>
          <w:sz w:val="24"/>
          <w:szCs w:val="24"/>
        </w:rPr>
        <w:t xml:space="preserve">Angie </w:t>
      </w:r>
      <w:proofErr w:type="spellStart"/>
      <w:r w:rsidR="00633FD7">
        <w:rPr>
          <w:rFonts w:cs="Times New Roman"/>
          <w:sz w:val="24"/>
          <w:szCs w:val="24"/>
        </w:rPr>
        <w:t>Peatow</w:t>
      </w:r>
      <w:proofErr w:type="spellEnd"/>
      <w:r w:rsidR="00633FD7">
        <w:rPr>
          <w:rFonts w:cs="Times New Roman"/>
          <w:sz w:val="24"/>
          <w:szCs w:val="24"/>
        </w:rPr>
        <w:t xml:space="preserve"> (guest; remote), </w:t>
      </w:r>
      <w:r w:rsidR="002B6F79" w:rsidRPr="0028676E">
        <w:rPr>
          <w:rFonts w:cs="Times New Roman"/>
          <w:sz w:val="24"/>
          <w:szCs w:val="24"/>
        </w:rPr>
        <w:t xml:space="preserve">Hal Sadofsky, </w:t>
      </w:r>
      <w:r w:rsidR="001849A4">
        <w:rPr>
          <w:rFonts w:cs="Times New Roman"/>
          <w:sz w:val="24"/>
          <w:szCs w:val="24"/>
        </w:rPr>
        <w:t>Anna Schmidt-M</w:t>
      </w:r>
      <w:r w:rsidR="00C148D3">
        <w:rPr>
          <w:rFonts w:cs="Times New Roman"/>
          <w:sz w:val="24"/>
          <w:szCs w:val="24"/>
        </w:rPr>
        <w:t>a</w:t>
      </w:r>
      <w:r w:rsidR="001849A4">
        <w:rPr>
          <w:rFonts w:cs="Times New Roman"/>
          <w:sz w:val="24"/>
          <w:szCs w:val="24"/>
        </w:rPr>
        <w:t>cKenzie</w:t>
      </w:r>
      <w:r w:rsidR="002F1236">
        <w:rPr>
          <w:rFonts w:cs="Times New Roman"/>
          <w:sz w:val="24"/>
          <w:szCs w:val="24"/>
        </w:rPr>
        <w:t xml:space="preserve"> (guest)</w:t>
      </w:r>
      <w:r w:rsidR="001849A4">
        <w:rPr>
          <w:rFonts w:cs="Times New Roman"/>
          <w:sz w:val="24"/>
          <w:szCs w:val="24"/>
        </w:rPr>
        <w:t xml:space="preserve">, Ben </w:t>
      </w:r>
      <w:proofErr w:type="spellStart"/>
      <w:r w:rsidR="001849A4">
        <w:rPr>
          <w:rFonts w:cs="Times New Roman"/>
          <w:sz w:val="24"/>
          <w:szCs w:val="24"/>
        </w:rPr>
        <w:t>Schnorzman</w:t>
      </w:r>
      <w:proofErr w:type="spellEnd"/>
      <w:r w:rsidR="001849A4">
        <w:rPr>
          <w:rFonts w:cs="Times New Roman"/>
          <w:sz w:val="24"/>
          <w:szCs w:val="24"/>
        </w:rPr>
        <w:t xml:space="preserve"> (guest), </w:t>
      </w:r>
      <w:r w:rsidR="002B6F79" w:rsidRPr="0028676E">
        <w:rPr>
          <w:rFonts w:cs="Times New Roman"/>
          <w:sz w:val="24"/>
          <w:szCs w:val="24"/>
        </w:rPr>
        <w:t xml:space="preserve">Amy Squires, </w:t>
      </w:r>
      <w:r w:rsidR="00796DEB">
        <w:rPr>
          <w:rFonts w:cs="Times New Roman"/>
          <w:sz w:val="24"/>
          <w:szCs w:val="24"/>
        </w:rPr>
        <w:t xml:space="preserve">Kathie Stanley, </w:t>
      </w:r>
      <w:r w:rsidR="002B6F79" w:rsidRPr="0028676E">
        <w:rPr>
          <w:rFonts w:cs="Times New Roman"/>
          <w:sz w:val="24"/>
          <w:szCs w:val="24"/>
        </w:rPr>
        <w:t>and Andy Winden.</w:t>
      </w:r>
    </w:p>
    <w:p w14:paraId="7F7AEB7A" w14:textId="42BC4806" w:rsidR="00AC5DAC" w:rsidRPr="0028676E" w:rsidRDefault="00AC5DAC" w:rsidP="0028676E">
      <w:pPr>
        <w:spacing w:line="240" w:lineRule="auto"/>
        <w:rPr>
          <w:rFonts w:ascii="Calibri" w:eastAsia="Calibri" w:hAnsi="Calibri" w:cs="Calibri"/>
          <w:sz w:val="24"/>
          <w:szCs w:val="24"/>
        </w:rPr>
      </w:pPr>
      <w:r w:rsidRPr="0028676E">
        <w:rPr>
          <w:rFonts w:cs="Times New Roman"/>
          <w:b/>
          <w:sz w:val="24"/>
          <w:szCs w:val="24"/>
        </w:rPr>
        <w:t>Staff</w:t>
      </w:r>
      <w:r w:rsidRPr="0028676E">
        <w:rPr>
          <w:rFonts w:cs="Times New Roman"/>
          <w:sz w:val="24"/>
          <w:szCs w:val="24"/>
        </w:rPr>
        <w:t xml:space="preserve">: Debbie Sharp (Office of the </w:t>
      </w:r>
      <w:r w:rsidR="009764DF" w:rsidRPr="0028676E">
        <w:rPr>
          <w:rFonts w:cs="Times New Roman"/>
          <w:sz w:val="24"/>
          <w:szCs w:val="24"/>
        </w:rPr>
        <w:t>S</w:t>
      </w:r>
      <w:r w:rsidRPr="0028676E">
        <w:rPr>
          <w:rFonts w:cs="Times New Roman"/>
          <w:sz w:val="24"/>
          <w:szCs w:val="24"/>
        </w:rPr>
        <w:t>enior VPFA)</w:t>
      </w:r>
      <w:r w:rsidR="00954894" w:rsidRPr="0028676E">
        <w:rPr>
          <w:rFonts w:cs="Times New Roman"/>
          <w:sz w:val="24"/>
          <w:szCs w:val="24"/>
        </w:rPr>
        <w:t>.</w:t>
      </w:r>
    </w:p>
    <w:p w14:paraId="48351113" w14:textId="080221EC" w:rsidR="00AC5DAC" w:rsidRPr="0028676E" w:rsidRDefault="00AC5DAC" w:rsidP="0028676E">
      <w:pPr>
        <w:spacing w:line="240" w:lineRule="auto"/>
        <w:rPr>
          <w:rFonts w:ascii="Calibri" w:eastAsia="Calibri" w:hAnsi="Calibri" w:cs="Calibri"/>
          <w:sz w:val="24"/>
          <w:szCs w:val="24"/>
        </w:rPr>
      </w:pPr>
      <w:r w:rsidRPr="0028676E">
        <w:rPr>
          <w:rFonts w:eastAsia="Times New Roman" w:cs="Times New Roman"/>
          <w:b/>
          <w:bCs/>
          <w:sz w:val="24"/>
          <w:szCs w:val="24"/>
        </w:rPr>
        <w:t>Introductions</w:t>
      </w:r>
      <w:r w:rsidR="00D56C76" w:rsidRPr="0028676E">
        <w:rPr>
          <w:rFonts w:ascii="Calibri" w:eastAsia="Calibri" w:hAnsi="Calibri" w:cs="Calibri"/>
          <w:sz w:val="24"/>
          <w:szCs w:val="24"/>
        </w:rPr>
        <w:t>. Co-chair Angela Chong, vice president for student life,</w:t>
      </w:r>
      <w:r w:rsidRPr="0028676E">
        <w:rPr>
          <w:rFonts w:ascii="Calibri" w:eastAsia="Calibri" w:hAnsi="Calibri" w:cs="Calibri"/>
          <w:sz w:val="24"/>
          <w:szCs w:val="24"/>
        </w:rPr>
        <w:t xml:space="preserve"> welcomed </w:t>
      </w:r>
      <w:r w:rsidR="002B6F79" w:rsidRPr="0028676E">
        <w:rPr>
          <w:rFonts w:ascii="Calibri" w:eastAsia="Calibri" w:hAnsi="Calibri" w:cs="Calibri"/>
          <w:sz w:val="24"/>
          <w:szCs w:val="24"/>
        </w:rPr>
        <w:t xml:space="preserve">the group and invited </w:t>
      </w:r>
      <w:r w:rsidR="00632717" w:rsidRPr="0028676E">
        <w:rPr>
          <w:rFonts w:ascii="Calibri" w:eastAsia="Calibri" w:hAnsi="Calibri" w:cs="Calibri"/>
          <w:sz w:val="24"/>
          <w:szCs w:val="24"/>
        </w:rPr>
        <w:t>participants</w:t>
      </w:r>
      <w:r w:rsidRPr="0028676E">
        <w:rPr>
          <w:rFonts w:ascii="Calibri" w:eastAsia="Calibri" w:hAnsi="Calibri" w:cs="Calibri"/>
          <w:sz w:val="24"/>
          <w:szCs w:val="24"/>
        </w:rPr>
        <w:t xml:space="preserve"> to introduce themselves.</w:t>
      </w:r>
    </w:p>
    <w:p w14:paraId="42DD7861" w14:textId="6869885A" w:rsidR="00D56C76" w:rsidRDefault="00D56C76" w:rsidP="0028676E">
      <w:pPr>
        <w:spacing w:line="240" w:lineRule="auto"/>
        <w:rPr>
          <w:rFonts w:ascii="Calibri" w:eastAsia="Calibri" w:hAnsi="Calibri" w:cs="Calibri"/>
          <w:bCs/>
          <w:sz w:val="24"/>
          <w:szCs w:val="24"/>
        </w:rPr>
      </w:pPr>
      <w:r>
        <w:rPr>
          <w:rFonts w:ascii="Calibri" w:eastAsia="Calibri" w:hAnsi="Calibri" w:cs="Calibri"/>
          <w:b/>
          <w:sz w:val="24"/>
          <w:szCs w:val="24"/>
        </w:rPr>
        <w:t>Housing proposals</w:t>
      </w:r>
      <w:r w:rsidRPr="00D56C76">
        <w:rPr>
          <w:rFonts w:ascii="Calibri" w:eastAsia="Calibri" w:hAnsi="Calibri" w:cs="Calibri"/>
          <w:bCs/>
          <w:sz w:val="24"/>
          <w:szCs w:val="24"/>
        </w:rPr>
        <w:t>.</w:t>
      </w:r>
      <w:r>
        <w:rPr>
          <w:rFonts w:ascii="Calibri" w:eastAsia="Calibri" w:hAnsi="Calibri" w:cs="Calibri"/>
          <w:b/>
          <w:sz w:val="24"/>
          <w:szCs w:val="24"/>
        </w:rPr>
        <w:t xml:space="preserve"> </w:t>
      </w:r>
      <w:r w:rsidRPr="00D56C76">
        <w:rPr>
          <w:rFonts w:ascii="Calibri" w:eastAsia="Calibri" w:hAnsi="Calibri" w:cs="Calibri"/>
          <w:bCs/>
          <w:sz w:val="24"/>
          <w:szCs w:val="24"/>
        </w:rPr>
        <w:t>Michael Griffel, associate vice president for Student Services and Enrollment Management, and director for University Housing</w:t>
      </w:r>
      <w:r>
        <w:rPr>
          <w:rFonts w:ascii="Calibri" w:eastAsia="Calibri" w:hAnsi="Calibri" w:cs="Calibri"/>
          <w:bCs/>
          <w:sz w:val="24"/>
          <w:szCs w:val="24"/>
        </w:rPr>
        <w:t>, shared the proposed room and board rates increases for FY26</w:t>
      </w:r>
      <w:r w:rsidR="005172DB">
        <w:rPr>
          <w:rFonts w:ascii="Calibri" w:eastAsia="Calibri" w:hAnsi="Calibri" w:cs="Calibri"/>
          <w:bCs/>
          <w:sz w:val="24"/>
          <w:szCs w:val="24"/>
        </w:rPr>
        <w:t xml:space="preserve">. The proposals included increases for residence halls at single, double, and triple occupancy; for family housing and university apartments; and apartments at the UO Northeast Portland campus. Overall, the proposal involved a 4.5% increase in room and board rates for multi-person units and a 5% increase for single-person units. Griffel explained that the rate structure is </w:t>
      </w:r>
      <w:proofErr w:type="gramStart"/>
      <w:r w:rsidR="005172DB">
        <w:rPr>
          <w:rFonts w:ascii="Calibri" w:eastAsia="Calibri" w:hAnsi="Calibri" w:cs="Calibri"/>
          <w:bCs/>
          <w:sz w:val="24"/>
          <w:szCs w:val="24"/>
        </w:rPr>
        <w:t>similar to</w:t>
      </w:r>
      <w:proofErr w:type="gramEnd"/>
      <w:r w:rsidR="005172DB">
        <w:rPr>
          <w:rFonts w:ascii="Calibri" w:eastAsia="Calibri" w:hAnsi="Calibri" w:cs="Calibri"/>
          <w:bCs/>
          <w:sz w:val="24"/>
          <w:szCs w:val="24"/>
        </w:rPr>
        <w:t xml:space="preserve"> previous years and will include a returner discount for students who lived in the residence halls at least one term of the previous year. He also noted that the primary cost drivers for the increases include labor and Other Personnel Expenses (OPE) for staff, including </w:t>
      </w:r>
      <w:proofErr w:type="gramStart"/>
      <w:r w:rsidR="005172DB">
        <w:rPr>
          <w:rFonts w:ascii="Calibri" w:eastAsia="Calibri" w:hAnsi="Calibri" w:cs="Calibri"/>
          <w:bCs/>
          <w:sz w:val="24"/>
          <w:szCs w:val="24"/>
        </w:rPr>
        <w:t>a large number of</w:t>
      </w:r>
      <w:proofErr w:type="gramEnd"/>
      <w:r w:rsidR="005172DB">
        <w:rPr>
          <w:rFonts w:ascii="Calibri" w:eastAsia="Calibri" w:hAnsi="Calibri" w:cs="Calibri"/>
          <w:bCs/>
          <w:sz w:val="24"/>
          <w:szCs w:val="24"/>
        </w:rPr>
        <w:t xml:space="preserve"> very valuable student employees. Griffel also shared that food commodities </w:t>
      </w:r>
      <w:r w:rsidR="00BE593A">
        <w:rPr>
          <w:rFonts w:ascii="Calibri" w:eastAsia="Calibri" w:hAnsi="Calibri" w:cs="Calibri"/>
          <w:bCs/>
          <w:sz w:val="24"/>
          <w:szCs w:val="24"/>
        </w:rPr>
        <w:t>are projected to increase</w:t>
      </w:r>
      <w:r w:rsidR="005172DB">
        <w:rPr>
          <w:rFonts w:ascii="Calibri" w:eastAsia="Calibri" w:hAnsi="Calibri" w:cs="Calibri"/>
          <w:bCs/>
          <w:sz w:val="24"/>
          <w:szCs w:val="24"/>
        </w:rPr>
        <w:t xml:space="preserve"> 5-6%, utilities </w:t>
      </w:r>
      <w:r w:rsidR="00061329">
        <w:rPr>
          <w:rFonts w:ascii="Calibri" w:eastAsia="Calibri" w:hAnsi="Calibri" w:cs="Calibri"/>
          <w:bCs/>
          <w:sz w:val="24"/>
          <w:szCs w:val="24"/>
        </w:rPr>
        <w:t>are projected to increase</w:t>
      </w:r>
      <w:r w:rsidR="005172DB">
        <w:rPr>
          <w:rFonts w:ascii="Calibri" w:eastAsia="Calibri" w:hAnsi="Calibri" w:cs="Calibri"/>
          <w:bCs/>
          <w:sz w:val="24"/>
          <w:szCs w:val="24"/>
        </w:rPr>
        <w:t xml:space="preserve"> 2-6%, and construction and maintenance costs are up 3-4%. Finally, Griffel shared a comparison for UO room and board rates compared to Big Ten and former (and current) Pac-12 </w:t>
      </w:r>
      <w:r w:rsidR="000F7311">
        <w:rPr>
          <w:rFonts w:ascii="Calibri" w:eastAsia="Calibri" w:hAnsi="Calibri" w:cs="Calibri"/>
          <w:bCs/>
          <w:sz w:val="24"/>
          <w:szCs w:val="24"/>
        </w:rPr>
        <w:t xml:space="preserve">universities </w:t>
      </w:r>
      <w:r w:rsidR="005172DB">
        <w:rPr>
          <w:rFonts w:ascii="Calibri" w:eastAsia="Calibri" w:hAnsi="Calibri" w:cs="Calibri"/>
          <w:bCs/>
          <w:sz w:val="24"/>
          <w:szCs w:val="24"/>
        </w:rPr>
        <w:t xml:space="preserve">in 2024-25. All the materials presented are available </w:t>
      </w:r>
      <w:hyperlink r:id="rId8" w:history="1">
        <w:r w:rsidR="005172DB" w:rsidRPr="005172DB">
          <w:rPr>
            <w:rStyle w:val="Hyperlink"/>
            <w:rFonts w:ascii="Calibri" w:eastAsia="Calibri" w:hAnsi="Calibri" w:cs="Calibri"/>
            <w:bCs/>
            <w:sz w:val="24"/>
            <w:szCs w:val="24"/>
          </w:rPr>
          <w:t>online</w:t>
        </w:r>
      </w:hyperlink>
      <w:r w:rsidR="005172DB">
        <w:rPr>
          <w:rFonts w:ascii="Calibri" w:eastAsia="Calibri" w:hAnsi="Calibri" w:cs="Calibri"/>
          <w:bCs/>
          <w:sz w:val="24"/>
          <w:szCs w:val="24"/>
        </w:rPr>
        <w:t>.</w:t>
      </w:r>
    </w:p>
    <w:p w14:paraId="3710A57E" w14:textId="59B16CB5" w:rsidR="005172DB" w:rsidRDefault="000F7311" w:rsidP="0028676E">
      <w:pPr>
        <w:spacing w:line="240" w:lineRule="auto"/>
        <w:rPr>
          <w:rFonts w:ascii="Calibri" w:eastAsia="Calibri" w:hAnsi="Calibri" w:cs="Calibri"/>
          <w:bCs/>
          <w:sz w:val="24"/>
          <w:szCs w:val="24"/>
        </w:rPr>
      </w:pPr>
      <w:r>
        <w:rPr>
          <w:rFonts w:ascii="Calibri" w:eastAsia="Calibri" w:hAnsi="Calibri" w:cs="Calibri"/>
          <w:bCs/>
          <w:sz w:val="24"/>
          <w:szCs w:val="24"/>
        </w:rPr>
        <w:t xml:space="preserve">The group discussed many issues related to housing, including whether the increases requested would be enough for Housing to break even on cost increases in FY26, </w:t>
      </w:r>
      <w:r w:rsidR="00DE57F2">
        <w:rPr>
          <w:rFonts w:ascii="Calibri" w:eastAsia="Calibri" w:hAnsi="Calibri" w:cs="Calibri"/>
          <w:bCs/>
          <w:sz w:val="24"/>
          <w:szCs w:val="24"/>
        </w:rPr>
        <w:t xml:space="preserve">the </w:t>
      </w:r>
      <w:r>
        <w:rPr>
          <w:rFonts w:ascii="Calibri" w:eastAsia="Calibri" w:hAnsi="Calibri" w:cs="Calibri"/>
          <w:bCs/>
          <w:sz w:val="24"/>
          <w:szCs w:val="24"/>
        </w:rPr>
        <w:t xml:space="preserve">construction and repair projects underway, the importance of a diversity of housing types and prices, the challenge of making housing affordable, and resources available for students to access off-campus housing. </w:t>
      </w:r>
    </w:p>
    <w:p w14:paraId="10B69F75" w14:textId="1305A754" w:rsidR="005172DB" w:rsidRDefault="001E54E2" w:rsidP="0028676E">
      <w:pPr>
        <w:spacing w:line="240" w:lineRule="auto"/>
        <w:rPr>
          <w:rFonts w:ascii="Calibri" w:eastAsia="Calibri" w:hAnsi="Calibri" w:cs="Calibri"/>
          <w:bCs/>
          <w:sz w:val="24"/>
          <w:szCs w:val="24"/>
        </w:rPr>
      </w:pPr>
      <w:r w:rsidRPr="001E54E2">
        <w:rPr>
          <w:rFonts w:ascii="Calibri" w:eastAsia="Calibri" w:hAnsi="Calibri" w:cs="Calibri"/>
          <w:b/>
          <w:sz w:val="24"/>
          <w:szCs w:val="24"/>
        </w:rPr>
        <w:t>Debrief of the student forum</w:t>
      </w:r>
      <w:r>
        <w:rPr>
          <w:rFonts w:ascii="Calibri" w:eastAsia="Calibri" w:hAnsi="Calibri" w:cs="Calibri"/>
          <w:bCs/>
          <w:sz w:val="24"/>
          <w:szCs w:val="24"/>
        </w:rPr>
        <w:t xml:space="preserve">. Co-chair Angela Chong facilitated a discussion by TFAB participants who attended the January 14 Student Forum on Tuition. Discussion topics included online fees, course fees, access to information about financial aid and scholarships, funding for the UO band, and the challenges that students face accessing the classes they need to finish their degrees in a timely manner. There was also a discussion about the perception that the university receives a lot of investment in athletics </w:t>
      </w:r>
      <w:r w:rsidR="001B7479">
        <w:rPr>
          <w:rFonts w:ascii="Calibri" w:eastAsia="Calibri" w:hAnsi="Calibri" w:cs="Calibri"/>
          <w:bCs/>
          <w:sz w:val="24"/>
          <w:szCs w:val="24"/>
        </w:rPr>
        <w:t xml:space="preserve">and questions about whether more of that funding could </w:t>
      </w:r>
      <w:r w:rsidR="0031756A">
        <w:rPr>
          <w:rFonts w:ascii="Calibri" w:eastAsia="Calibri" w:hAnsi="Calibri" w:cs="Calibri"/>
          <w:bCs/>
          <w:sz w:val="24"/>
          <w:szCs w:val="24"/>
        </w:rPr>
        <w:t xml:space="preserve">be transferred to the </w:t>
      </w:r>
      <w:r w:rsidR="00691DAA">
        <w:rPr>
          <w:rFonts w:ascii="Calibri" w:eastAsia="Calibri" w:hAnsi="Calibri" w:cs="Calibri"/>
          <w:bCs/>
          <w:sz w:val="24"/>
          <w:szCs w:val="24"/>
        </w:rPr>
        <w:t>u</w:t>
      </w:r>
      <w:r w:rsidR="0031756A">
        <w:rPr>
          <w:rFonts w:ascii="Calibri" w:eastAsia="Calibri" w:hAnsi="Calibri" w:cs="Calibri"/>
          <w:bCs/>
          <w:sz w:val="24"/>
          <w:szCs w:val="24"/>
        </w:rPr>
        <w:t xml:space="preserve">niversity for general E&amp;G </w:t>
      </w:r>
      <w:r w:rsidR="007F12DC">
        <w:rPr>
          <w:rFonts w:ascii="Calibri" w:eastAsia="Calibri" w:hAnsi="Calibri" w:cs="Calibri"/>
          <w:bCs/>
          <w:sz w:val="24"/>
          <w:szCs w:val="24"/>
        </w:rPr>
        <w:t xml:space="preserve">(Education and General) </w:t>
      </w:r>
      <w:r w:rsidR="0031756A">
        <w:rPr>
          <w:rFonts w:ascii="Calibri" w:eastAsia="Calibri" w:hAnsi="Calibri" w:cs="Calibri"/>
          <w:bCs/>
          <w:sz w:val="24"/>
          <w:szCs w:val="24"/>
        </w:rPr>
        <w:t>fund purposes.  These discussions highlighted the</w:t>
      </w:r>
      <w:r>
        <w:rPr>
          <w:rFonts w:ascii="Calibri" w:eastAsia="Calibri" w:hAnsi="Calibri" w:cs="Calibri"/>
          <w:bCs/>
          <w:sz w:val="24"/>
          <w:szCs w:val="24"/>
        </w:rPr>
        <w:t xml:space="preserve"> need to educate students </w:t>
      </w:r>
      <w:r>
        <w:rPr>
          <w:rFonts w:ascii="Calibri" w:eastAsia="Calibri" w:hAnsi="Calibri" w:cs="Calibri"/>
          <w:bCs/>
          <w:sz w:val="24"/>
          <w:szCs w:val="24"/>
        </w:rPr>
        <w:lastRenderedPageBreak/>
        <w:t xml:space="preserve">and the broader community about where the athletics revenue goes. People discussed a lack of understanding about athletics </w:t>
      </w:r>
      <w:r w:rsidRPr="001E54E2">
        <w:rPr>
          <w:rFonts w:ascii="Calibri" w:eastAsia="Calibri" w:hAnsi="Calibri" w:cs="Calibri"/>
          <w:b/>
          <w:sz w:val="24"/>
          <w:szCs w:val="24"/>
        </w:rPr>
        <w:t>not</w:t>
      </w:r>
      <w:r>
        <w:rPr>
          <w:rFonts w:ascii="Calibri" w:eastAsia="Calibri" w:hAnsi="Calibri" w:cs="Calibri"/>
          <w:bCs/>
          <w:sz w:val="24"/>
          <w:szCs w:val="24"/>
        </w:rPr>
        <w:t xml:space="preserve"> receiving funding from tuition dollars and instead paying over $4 million in administrative overhead to the university. Participants </w:t>
      </w:r>
      <w:r w:rsidR="00765D77">
        <w:rPr>
          <w:rFonts w:ascii="Calibri" w:eastAsia="Calibri" w:hAnsi="Calibri" w:cs="Calibri"/>
          <w:bCs/>
          <w:sz w:val="24"/>
          <w:szCs w:val="24"/>
        </w:rPr>
        <w:t xml:space="preserve">also </w:t>
      </w:r>
      <w:r w:rsidR="00C0594B">
        <w:rPr>
          <w:rFonts w:ascii="Calibri" w:eastAsia="Calibri" w:hAnsi="Calibri" w:cs="Calibri"/>
          <w:bCs/>
          <w:sz w:val="24"/>
          <w:szCs w:val="24"/>
        </w:rPr>
        <w:t>discussed the fact</w:t>
      </w:r>
      <w:r>
        <w:rPr>
          <w:rFonts w:ascii="Calibri" w:eastAsia="Calibri" w:hAnsi="Calibri" w:cs="Calibri"/>
          <w:bCs/>
          <w:sz w:val="24"/>
          <w:szCs w:val="24"/>
        </w:rPr>
        <w:t xml:space="preserve"> that the athletics department paid over $18 million to the university for the full </w:t>
      </w:r>
      <w:proofErr w:type="gramStart"/>
      <w:r>
        <w:rPr>
          <w:rFonts w:ascii="Calibri" w:eastAsia="Calibri" w:hAnsi="Calibri" w:cs="Calibri"/>
          <w:bCs/>
          <w:sz w:val="24"/>
          <w:szCs w:val="24"/>
        </w:rPr>
        <w:t>amount</w:t>
      </w:r>
      <w:proofErr w:type="gramEnd"/>
      <w:r>
        <w:rPr>
          <w:rFonts w:ascii="Calibri" w:eastAsia="Calibri" w:hAnsi="Calibri" w:cs="Calibri"/>
          <w:bCs/>
          <w:sz w:val="24"/>
          <w:szCs w:val="24"/>
        </w:rPr>
        <w:t xml:space="preserve"> of scholarships, books, room and board, and other awards to student athletes in FY24.</w:t>
      </w:r>
      <w:r w:rsidR="001B7479">
        <w:rPr>
          <w:rFonts w:ascii="Calibri" w:eastAsia="Calibri" w:hAnsi="Calibri" w:cs="Calibri"/>
          <w:bCs/>
          <w:sz w:val="24"/>
          <w:szCs w:val="24"/>
        </w:rPr>
        <w:t xml:space="preserve">  </w:t>
      </w:r>
    </w:p>
    <w:p w14:paraId="6F8FF299" w14:textId="293F15B9" w:rsidR="001048C3" w:rsidRDefault="001E54E2" w:rsidP="001E54E2">
      <w:pPr>
        <w:spacing w:line="240" w:lineRule="auto"/>
        <w:rPr>
          <w:rFonts w:ascii="Calibri" w:eastAsia="Calibri" w:hAnsi="Calibri" w:cs="Calibri"/>
          <w:bCs/>
          <w:sz w:val="24"/>
          <w:szCs w:val="24"/>
        </w:rPr>
      </w:pPr>
      <w:r w:rsidRPr="001E54E2">
        <w:rPr>
          <w:rFonts w:ascii="Calibri" w:eastAsia="Calibri" w:hAnsi="Calibri" w:cs="Calibri"/>
          <w:b/>
          <w:sz w:val="24"/>
          <w:szCs w:val="24"/>
        </w:rPr>
        <w:t>Graduate tuition proposals</w:t>
      </w:r>
      <w:r>
        <w:rPr>
          <w:rFonts w:ascii="Calibri" w:eastAsia="Calibri" w:hAnsi="Calibri" w:cs="Calibri"/>
          <w:bCs/>
          <w:sz w:val="24"/>
          <w:szCs w:val="24"/>
        </w:rPr>
        <w:t xml:space="preserve">. JP Monroe, </w:t>
      </w:r>
      <w:r w:rsidR="001048C3">
        <w:rPr>
          <w:rFonts w:ascii="Calibri" w:eastAsia="Calibri" w:hAnsi="Calibri" w:cs="Calibri"/>
          <w:bCs/>
          <w:sz w:val="24"/>
          <w:szCs w:val="24"/>
        </w:rPr>
        <w:t xml:space="preserve">director of Institutional Research, presented information on graduate tuition rates for programs across the university. He presented the tuition rates for </w:t>
      </w:r>
      <w:r w:rsidR="0031756A">
        <w:rPr>
          <w:rFonts w:ascii="Calibri" w:eastAsia="Calibri" w:hAnsi="Calibri" w:cs="Calibri"/>
          <w:bCs/>
          <w:sz w:val="24"/>
          <w:szCs w:val="24"/>
        </w:rPr>
        <w:t>full</w:t>
      </w:r>
      <w:r w:rsidR="00691DAA">
        <w:rPr>
          <w:rFonts w:ascii="Calibri" w:eastAsia="Calibri" w:hAnsi="Calibri" w:cs="Calibri"/>
          <w:bCs/>
          <w:sz w:val="24"/>
          <w:szCs w:val="24"/>
        </w:rPr>
        <w:t>-</w:t>
      </w:r>
      <w:r w:rsidR="0031756A">
        <w:rPr>
          <w:rFonts w:ascii="Calibri" w:eastAsia="Calibri" w:hAnsi="Calibri" w:cs="Calibri"/>
          <w:bCs/>
          <w:sz w:val="24"/>
          <w:szCs w:val="24"/>
        </w:rPr>
        <w:t xml:space="preserve">time students (defined as enrolling in </w:t>
      </w:r>
      <w:r w:rsidR="001048C3">
        <w:rPr>
          <w:rFonts w:ascii="Calibri" w:eastAsia="Calibri" w:hAnsi="Calibri" w:cs="Calibri"/>
          <w:bCs/>
          <w:sz w:val="24"/>
          <w:szCs w:val="24"/>
        </w:rPr>
        <w:t>nine credits</w:t>
      </w:r>
      <w:r w:rsidR="0031756A">
        <w:rPr>
          <w:rFonts w:ascii="Calibri" w:eastAsia="Calibri" w:hAnsi="Calibri" w:cs="Calibri"/>
          <w:bCs/>
          <w:sz w:val="24"/>
          <w:szCs w:val="24"/>
        </w:rPr>
        <w:t>)</w:t>
      </w:r>
      <w:r w:rsidR="001048C3">
        <w:rPr>
          <w:rFonts w:ascii="Calibri" w:eastAsia="Calibri" w:hAnsi="Calibri" w:cs="Calibri"/>
          <w:bCs/>
          <w:sz w:val="24"/>
          <w:szCs w:val="24"/>
        </w:rPr>
        <w:t xml:space="preserve"> </w:t>
      </w:r>
      <w:r w:rsidR="0031756A">
        <w:rPr>
          <w:rFonts w:ascii="Calibri" w:eastAsia="Calibri" w:hAnsi="Calibri" w:cs="Calibri"/>
          <w:bCs/>
          <w:sz w:val="24"/>
          <w:szCs w:val="24"/>
        </w:rPr>
        <w:t>for</w:t>
      </w:r>
      <w:r w:rsidR="001048C3">
        <w:rPr>
          <w:rFonts w:ascii="Calibri" w:eastAsia="Calibri" w:hAnsi="Calibri" w:cs="Calibri"/>
          <w:bCs/>
          <w:sz w:val="24"/>
          <w:szCs w:val="24"/>
        </w:rPr>
        <w:t xml:space="preserve"> each graduate program in AY2024-25 and the proposed rates for AY2025-26, highlighting the percentage increases in the proposed rates. Monroe shared this information for the graduate tuition </w:t>
      </w:r>
      <w:r w:rsidR="0031756A">
        <w:rPr>
          <w:rFonts w:ascii="Calibri" w:eastAsia="Calibri" w:hAnsi="Calibri" w:cs="Calibri"/>
          <w:bCs/>
          <w:sz w:val="24"/>
          <w:szCs w:val="24"/>
        </w:rPr>
        <w:t xml:space="preserve">rates </w:t>
      </w:r>
      <w:r w:rsidR="001048C3">
        <w:rPr>
          <w:rFonts w:ascii="Calibri" w:eastAsia="Calibri" w:hAnsi="Calibri" w:cs="Calibri"/>
          <w:bCs/>
          <w:sz w:val="24"/>
          <w:szCs w:val="24"/>
        </w:rPr>
        <w:t xml:space="preserve">during the academic year (fall, winter, and spring terms) as well as for summer. Co-chair Jamie Moffitt, senior vice president for finance and administration and CFO explained that </w:t>
      </w:r>
      <w:r w:rsidR="0031756A">
        <w:rPr>
          <w:rFonts w:ascii="Calibri" w:eastAsia="Calibri" w:hAnsi="Calibri" w:cs="Calibri"/>
          <w:bCs/>
          <w:sz w:val="24"/>
          <w:szCs w:val="24"/>
        </w:rPr>
        <w:t xml:space="preserve">when </w:t>
      </w:r>
      <w:r w:rsidR="001048C3">
        <w:rPr>
          <w:rFonts w:ascii="Calibri" w:eastAsia="Calibri" w:hAnsi="Calibri" w:cs="Calibri"/>
          <w:bCs/>
          <w:sz w:val="24"/>
          <w:szCs w:val="24"/>
        </w:rPr>
        <w:t>the schools and colleges review their graduate program</w:t>
      </w:r>
      <w:r w:rsidR="00600F01">
        <w:rPr>
          <w:rFonts w:ascii="Calibri" w:eastAsia="Calibri" w:hAnsi="Calibri" w:cs="Calibri"/>
          <w:bCs/>
          <w:sz w:val="24"/>
          <w:szCs w:val="24"/>
        </w:rPr>
        <w:t xml:space="preserve"> tuition rates, they are considering the </w:t>
      </w:r>
      <w:r w:rsidR="001048C3">
        <w:rPr>
          <w:rFonts w:ascii="Calibri" w:eastAsia="Calibri" w:hAnsi="Calibri" w:cs="Calibri"/>
          <w:bCs/>
          <w:sz w:val="24"/>
          <w:szCs w:val="24"/>
        </w:rPr>
        <w:t>same cost drivers the rest of the university is facing</w:t>
      </w:r>
      <w:r w:rsidR="00600F01">
        <w:rPr>
          <w:rFonts w:ascii="Calibri" w:eastAsia="Calibri" w:hAnsi="Calibri" w:cs="Calibri"/>
          <w:bCs/>
          <w:sz w:val="24"/>
          <w:szCs w:val="24"/>
        </w:rPr>
        <w:t xml:space="preserve"> </w:t>
      </w:r>
      <w:proofErr w:type="gramStart"/>
      <w:r w:rsidR="00600F01">
        <w:rPr>
          <w:rFonts w:ascii="Calibri" w:eastAsia="Calibri" w:hAnsi="Calibri" w:cs="Calibri"/>
          <w:bCs/>
          <w:sz w:val="24"/>
          <w:szCs w:val="24"/>
        </w:rPr>
        <w:t>and</w:t>
      </w:r>
      <w:r w:rsidR="001048C3">
        <w:rPr>
          <w:rFonts w:ascii="Calibri" w:eastAsia="Calibri" w:hAnsi="Calibri" w:cs="Calibri"/>
          <w:bCs/>
          <w:sz w:val="24"/>
          <w:szCs w:val="24"/>
        </w:rPr>
        <w:t xml:space="preserve"> also</w:t>
      </w:r>
      <w:proofErr w:type="gramEnd"/>
      <w:r w:rsidR="001048C3">
        <w:rPr>
          <w:rFonts w:ascii="Calibri" w:eastAsia="Calibri" w:hAnsi="Calibri" w:cs="Calibri"/>
          <w:bCs/>
          <w:sz w:val="24"/>
          <w:szCs w:val="24"/>
        </w:rPr>
        <w:t xml:space="preserve"> looking at market rates for their specific graduate programs.</w:t>
      </w:r>
    </w:p>
    <w:p w14:paraId="1DF8F30A" w14:textId="5BFA3811" w:rsidR="001048C3" w:rsidRDefault="001048C3" w:rsidP="001E54E2">
      <w:pPr>
        <w:spacing w:line="240" w:lineRule="auto"/>
        <w:rPr>
          <w:rFonts w:ascii="Calibri" w:eastAsia="Calibri" w:hAnsi="Calibri" w:cs="Calibri"/>
          <w:bCs/>
          <w:sz w:val="24"/>
          <w:szCs w:val="24"/>
        </w:rPr>
      </w:pPr>
      <w:r>
        <w:rPr>
          <w:rFonts w:ascii="Calibri" w:eastAsia="Calibri" w:hAnsi="Calibri" w:cs="Calibri"/>
          <w:bCs/>
          <w:sz w:val="24"/>
          <w:szCs w:val="24"/>
        </w:rPr>
        <w:t xml:space="preserve">The group discussed pricing changes for summer programs, increases in the College of Education graduate programs, </w:t>
      </w:r>
      <w:r w:rsidR="00EC45B0">
        <w:rPr>
          <w:rFonts w:ascii="Calibri" w:eastAsia="Calibri" w:hAnsi="Calibri" w:cs="Calibri"/>
          <w:bCs/>
          <w:sz w:val="24"/>
          <w:szCs w:val="24"/>
        </w:rPr>
        <w:t>the restructuring of the MBA-MSF concurrent degree in the business college (which will be discussed at a later meeting), and the prevalence of the 9-16-credit plateau system in different graduate programs.</w:t>
      </w:r>
    </w:p>
    <w:p w14:paraId="763DD29A" w14:textId="3FB349E3" w:rsidR="00B81B99" w:rsidRDefault="00B81B99" w:rsidP="001E54E2">
      <w:pPr>
        <w:spacing w:line="240" w:lineRule="auto"/>
        <w:rPr>
          <w:rFonts w:ascii="Calibri" w:eastAsia="Calibri" w:hAnsi="Calibri" w:cs="Calibri"/>
          <w:bCs/>
          <w:sz w:val="24"/>
          <w:szCs w:val="24"/>
        </w:rPr>
      </w:pPr>
      <w:r>
        <w:rPr>
          <w:rFonts w:ascii="Calibri" w:eastAsia="Calibri" w:hAnsi="Calibri" w:cs="Calibri"/>
          <w:bCs/>
          <w:sz w:val="24"/>
          <w:szCs w:val="24"/>
        </w:rPr>
        <w:t xml:space="preserve">Information on graduate tuition proposals and increases for FY26 </w:t>
      </w:r>
      <w:r w:rsidR="00437435">
        <w:rPr>
          <w:rFonts w:ascii="Calibri" w:eastAsia="Calibri" w:hAnsi="Calibri" w:cs="Calibri"/>
          <w:bCs/>
          <w:sz w:val="24"/>
          <w:szCs w:val="24"/>
        </w:rPr>
        <w:t>is</w:t>
      </w:r>
      <w:r>
        <w:rPr>
          <w:rFonts w:ascii="Calibri" w:eastAsia="Calibri" w:hAnsi="Calibri" w:cs="Calibri"/>
          <w:bCs/>
          <w:sz w:val="24"/>
          <w:szCs w:val="24"/>
        </w:rPr>
        <w:t xml:space="preserve"> available </w:t>
      </w:r>
      <w:hyperlink r:id="rId9" w:history="1">
        <w:r w:rsidRPr="00135AD2">
          <w:rPr>
            <w:rStyle w:val="Hyperlink"/>
            <w:rFonts w:ascii="Calibri" w:eastAsia="Calibri" w:hAnsi="Calibri" w:cs="Calibri"/>
            <w:bCs/>
            <w:sz w:val="24"/>
            <w:szCs w:val="24"/>
          </w:rPr>
          <w:t>online</w:t>
        </w:r>
      </w:hyperlink>
      <w:r w:rsidRPr="00135AD2">
        <w:rPr>
          <w:rFonts w:ascii="Calibri" w:eastAsia="Calibri" w:hAnsi="Calibri" w:cs="Calibri"/>
          <w:bCs/>
          <w:i/>
          <w:iCs/>
          <w:sz w:val="24"/>
          <w:szCs w:val="24"/>
        </w:rPr>
        <w:t>.</w:t>
      </w:r>
    </w:p>
    <w:p w14:paraId="2418C546" w14:textId="7D3C25C3" w:rsidR="00B81B99" w:rsidRDefault="00B81B99" w:rsidP="001E54E2">
      <w:pPr>
        <w:spacing w:line="240" w:lineRule="auto"/>
        <w:rPr>
          <w:rFonts w:ascii="Calibri" w:eastAsia="Calibri" w:hAnsi="Calibri" w:cs="Calibri"/>
          <w:bCs/>
          <w:sz w:val="24"/>
          <w:szCs w:val="24"/>
        </w:rPr>
      </w:pPr>
      <w:r w:rsidRPr="00B81B99">
        <w:rPr>
          <w:rFonts w:ascii="Calibri" w:eastAsia="Calibri" w:hAnsi="Calibri" w:cs="Calibri"/>
          <w:b/>
          <w:sz w:val="24"/>
          <w:szCs w:val="24"/>
        </w:rPr>
        <w:t>Undergrad</w:t>
      </w:r>
      <w:r>
        <w:rPr>
          <w:rFonts w:ascii="Calibri" w:eastAsia="Calibri" w:hAnsi="Calibri" w:cs="Calibri"/>
          <w:b/>
          <w:sz w:val="24"/>
          <w:szCs w:val="24"/>
        </w:rPr>
        <w:t>uate</w:t>
      </w:r>
      <w:r w:rsidRPr="00B81B99">
        <w:rPr>
          <w:rFonts w:ascii="Calibri" w:eastAsia="Calibri" w:hAnsi="Calibri" w:cs="Calibri"/>
          <w:b/>
          <w:sz w:val="24"/>
          <w:szCs w:val="24"/>
        </w:rPr>
        <w:t xml:space="preserve"> tuition</w:t>
      </w:r>
      <w:r>
        <w:rPr>
          <w:rFonts w:ascii="Calibri" w:eastAsia="Calibri" w:hAnsi="Calibri" w:cs="Calibri"/>
          <w:bCs/>
          <w:sz w:val="24"/>
          <w:szCs w:val="24"/>
        </w:rPr>
        <w:t xml:space="preserve">. Brian </w:t>
      </w:r>
      <w:r w:rsidR="00576570">
        <w:rPr>
          <w:rFonts w:ascii="Calibri" w:eastAsia="Calibri" w:hAnsi="Calibri" w:cs="Calibri"/>
          <w:bCs/>
          <w:sz w:val="24"/>
          <w:szCs w:val="24"/>
        </w:rPr>
        <w:t xml:space="preserve">Fox, </w:t>
      </w:r>
      <w:r w:rsidR="00576570">
        <w:rPr>
          <w:rFonts w:ascii="Calibri" w:eastAsia="Calibri" w:hAnsi="Calibri" w:cs="Calibri"/>
          <w:sz w:val="24"/>
          <w:szCs w:val="24"/>
        </w:rPr>
        <w:t>associate</w:t>
      </w:r>
      <w:r w:rsidR="00576570" w:rsidRPr="0028676E">
        <w:rPr>
          <w:rFonts w:ascii="Calibri" w:eastAsia="Calibri" w:hAnsi="Calibri" w:cs="Calibri"/>
          <w:sz w:val="24"/>
          <w:szCs w:val="24"/>
        </w:rPr>
        <w:t xml:space="preserve"> vice president of budget, financial analysis, and data analytics,</w:t>
      </w:r>
      <w:r w:rsidR="00576570">
        <w:rPr>
          <w:rFonts w:ascii="Calibri" w:eastAsia="Calibri" w:hAnsi="Calibri" w:cs="Calibri"/>
          <w:sz w:val="24"/>
          <w:szCs w:val="24"/>
        </w:rPr>
        <w:t xml:space="preserve"> used the tuition calculator to discuss various enrollment and budget scenarios with the group. Participants discussed varying levels of international and non-resident enrollment and how that could potentially impact the future budget, considering different tuition rate increases.</w:t>
      </w:r>
    </w:p>
    <w:p w14:paraId="1390D74B" w14:textId="6B9AB44B" w:rsidR="00141AB9" w:rsidRPr="00B96A33" w:rsidRDefault="00AC5DAC" w:rsidP="001E54E2">
      <w:pPr>
        <w:spacing w:line="240" w:lineRule="auto"/>
        <w:rPr>
          <w:rFonts w:ascii="Calibri" w:eastAsia="Calibri" w:hAnsi="Calibri" w:cs="Calibri"/>
          <w:sz w:val="24"/>
          <w:szCs w:val="24"/>
        </w:rPr>
      </w:pPr>
      <w:r w:rsidRPr="00B96A33">
        <w:rPr>
          <w:b/>
          <w:sz w:val="24"/>
          <w:szCs w:val="24"/>
        </w:rPr>
        <w:t>Adjournment</w:t>
      </w:r>
      <w:r w:rsidRPr="00B96A33">
        <w:rPr>
          <w:sz w:val="24"/>
          <w:szCs w:val="24"/>
        </w:rPr>
        <w:t xml:space="preserve">. </w:t>
      </w:r>
      <w:r w:rsidRPr="00B96A33">
        <w:rPr>
          <w:rFonts w:ascii="Calibri" w:eastAsia="Calibri" w:hAnsi="Calibri" w:cs="Calibri"/>
          <w:sz w:val="24"/>
          <w:szCs w:val="24"/>
        </w:rPr>
        <w:t xml:space="preserve">The meeting adjourned at </w:t>
      </w:r>
      <w:r w:rsidR="005172DB">
        <w:rPr>
          <w:rFonts w:ascii="Calibri" w:eastAsia="Calibri" w:hAnsi="Calibri" w:cs="Calibri"/>
          <w:sz w:val="24"/>
          <w:szCs w:val="24"/>
        </w:rPr>
        <w:t>10:30 a</w:t>
      </w:r>
      <w:r w:rsidRPr="00B96A33">
        <w:rPr>
          <w:rFonts w:ascii="Calibri" w:eastAsia="Calibri" w:hAnsi="Calibri" w:cs="Calibri"/>
          <w:sz w:val="24"/>
          <w:szCs w:val="24"/>
        </w:rPr>
        <w:t>m.</w:t>
      </w:r>
    </w:p>
    <w:sectPr w:rsidR="00141AB9" w:rsidRPr="00B96A33" w:rsidSect="003326F5">
      <w:footerReference w:type="default" r:id="rId10"/>
      <w:pgSz w:w="12240" w:h="15840"/>
      <w:pgMar w:top="1530" w:right="1080" w:bottom="17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33CBE" w14:textId="77777777" w:rsidR="005E200A" w:rsidRDefault="005E200A" w:rsidP="000F4585">
      <w:pPr>
        <w:spacing w:after="0" w:line="240" w:lineRule="auto"/>
      </w:pPr>
      <w:r>
        <w:separator/>
      </w:r>
    </w:p>
  </w:endnote>
  <w:endnote w:type="continuationSeparator" w:id="0">
    <w:p w14:paraId="6D51F827" w14:textId="77777777" w:rsidR="005E200A" w:rsidRDefault="005E200A" w:rsidP="000F4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7239351"/>
      <w:docPartObj>
        <w:docPartGallery w:val="Page Numbers (Bottom of Page)"/>
        <w:docPartUnique/>
      </w:docPartObj>
    </w:sdtPr>
    <w:sdtEndPr/>
    <w:sdtContent>
      <w:p w14:paraId="54E5B644" w14:textId="45B6A84B" w:rsidR="00C53B18" w:rsidRDefault="00C53B18">
        <w:pPr>
          <w:pStyle w:val="Footer"/>
          <w:jc w:val="right"/>
        </w:pPr>
        <w:r>
          <w:t xml:space="preserve">Page | </w:t>
        </w:r>
        <w:r>
          <w:fldChar w:fldCharType="begin"/>
        </w:r>
        <w:r>
          <w:instrText xml:space="preserve"> PAGE   \* MERGEFORMAT </w:instrText>
        </w:r>
        <w:r>
          <w:fldChar w:fldCharType="separate"/>
        </w:r>
        <w:r w:rsidR="0057422F">
          <w:rPr>
            <w:noProof/>
          </w:rPr>
          <w:t>2</w:t>
        </w:r>
        <w:r>
          <w:rPr>
            <w:noProof/>
          </w:rPr>
          <w:fldChar w:fldCharType="end"/>
        </w:r>
        <w:r>
          <w:t xml:space="preserve"> </w:t>
        </w:r>
      </w:p>
    </w:sdtContent>
  </w:sdt>
  <w:p w14:paraId="6333BB4E" w14:textId="77777777" w:rsidR="000F4585" w:rsidRDefault="000F4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500DC" w14:textId="77777777" w:rsidR="005E200A" w:rsidRDefault="005E200A" w:rsidP="000F4585">
      <w:pPr>
        <w:spacing w:after="0" w:line="240" w:lineRule="auto"/>
      </w:pPr>
      <w:r>
        <w:separator/>
      </w:r>
    </w:p>
  </w:footnote>
  <w:footnote w:type="continuationSeparator" w:id="0">
    <w:p w14:paraId="728E18BB" w14:textId="77777777" w:rsidR="005E200A" w:rsidRDefault="005E200A" w:rsidP="000F4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C4D4B"/>
    <w:multiLevelType w:val="hybridMultilevel"/>
    <w:tmpl w:val="10608E9E"/>
    <w:lvl w:ilvl="0" w:tplc="2EAE448C">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74659"/>
    <w:multiLevelType w:val="hybridMultilevel"/>
    <w:tmpl w:val="C9766FBC"/>
    <w:lvl w:ilvl="0" w:tplc="0B6EB67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790BDA"/>
    <w:multiLevelType w:val="hybridMultilevel"/>
    <w:tmpl w:val="0C662B2A"/>
    <w:lvl w:ilvl="0" w:tplc="E02A32A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2F37EF"/>
    <w:multiLevelType w:val="hybridMultilevel"/>
    <w:tmpl w:val="060C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5221352">
    <w:abstractNumId w:val="2"/>
  </w:num>
  <w:num w:numId="2" w16cid:durableId="1216088237">
    <w:abstractNumId w:val="3"/>
  </w:num>
  <w:num w:numId="3" w16cid:durableId="269892731">
    <w:abstractNumId w:val="1"/>
  </w:num>
  <w:num w:numId="4" w16cid:durableId="1016880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AB9"/>
    <w:rsid w:val="0000161F"/>
    <w:rsid w:val="00005C28"/>
    <w:rsid w:val="00017EE7"/>
    <w:rsid w:val="00044DC4"/>
    <w:rsid w:val="000468D6"/>
    <w:rsid w:val="00061329"/>
    <w:rsid w:val="000621C5"/>
    <w:rsid w:val="00076DE9"/>
    <w:rsid w:val="00077B4F"/>
    <w:rsid w:val="000976B3"/>
    <w:rsid w:val="000F2DA2"/>
    <w:rsid w:val="000F4585"/>
    <w:rsid w:val="000F7311"/>
    <w:rsid w:val="00104028"/>
    <w:rsid w:val="001048C3"/>
    <w:rsid w:val="001127B1"/>
    <w:rsid w:val="0013003F"/>
    <w:rsid w:val="00134FC6"/>
    <w:rsid w:val="00135AD2"/>
    <w:rsid w:val="00141AB9"/>
    <w:rsid w:val="001439EB"/>
    <w:rsid w:val="001656A5"/>
    <w:rsid w:val="00180309"/>
    <w:rsid w:val="00181B88"/>
    <w:rsid w:val="001849A4"/>
    <w:rsid w:val="00191BC7"/>
    <w:rsid w:val="00192E6C"/>
    <w:rsid w:val="001B7479"/>
    <w:rsid w:val="001D5DB2"/>
    <w:rsid w:val="001E4759"/>
    <w:rsid w:val="001E54E2"/>
    <w:rsid w:val="00221F2E"/>
    <w:rsid w:val="00235EE6"/>
    <w:rsid w:val="00261441"/>
    <w:rsid w:val="002652A8"/>
    <w:rsid w:val="0028676E"/>
    <w:rsid w:val="002A4938"/>
    <w:rsid w:val="002B1D68"/>
    <w:rsid w:val="002B4E42"/>
    <w:rsid w:val="002B6F79"/>
    <w:rsid w:val="002B7B20"/>
    <w:rsid w:val="002C0C52"/>
    <w:rsid w:val="002C1DBD"/>
    <w:rsid w:val="002D1344"/>
    <w:rsid w:val="002F1236"/>
    <w:rsid w:val="0031756A"/>
    <w:rsid w:val="003326F5"/>
    <w:rsid w:val="00341D7E"/>
    <w:rsid w:val="003505C3"/>
    <w:rsid w:val="00354FF6"/>
    <w:rsid w:val="003701B0"/>
    <w:rsid w:val="00396AF3"/>
    <w:rsid w:val="003A399F"/>
    <w:rsid w:val="003A56C3"/>
    <w:rsid w:val="003D0683"/>
    <w:rsid w:val="003F19B2"/>
    <w:rsid w:val="00430DC0"/>
    <w:rsid w:val="00437435"/>
    <w:rsid w:val="0043776B"/>
    <w:rsid w:val="004461B4"/>
    <w:rsid w:val="004500BF"/>
    <w:rsid w:val="0046373D"/>
    <w:rsid w:val="00467A95"/>
    <w:rsid w:val="00476A83"/>
    <w:rsid w:val="004A494A"/>
    <w:rsid w:val="004B24F5"/>
    <w:rsid w:val="004B6BBA"/>
    <w:rsid w:val="004B73E8"/>
    <w:rsid w:val="004C643B"/>
    <w:rsid w:val="004F696F"/>
    <w:rsid w:val="0050206E"/>
    <w:rsid w:val="00512412"/>
    <w:rsid w:val="005172DB"/>
    <w:rsid w:val="00520492"/>
    <w:rsid w:val="00525985"/>
    <w:rsid w:val="00535927"/>
    <w:rsid w:val="00544E5E"/>
    <w:rsid w:val="0056437E"/>
    <w:rsid w:val="00567A94"/>
    <w:rsid w:val="0057422F"/>
    <w:rsid w:val="00576570"/>
    <w:rsid w:val="005A1746"/>
    <w:rsid w:val="005A247B"/>
    <w:rsid w:val="005E200A"/>
    <w:rsid w:val="005F0390"/>
    <w:rsid w:val="00600F01"/>
    <w:rsid w:val="00632717"/>
    <w:rsid w:val="00633FD7"/>
    <w:rsid w:val="0063635B"/>
    <w:rsid w:val="00660634"/>
    <w:rsid w:val="006753F2"/>
    <w:rsid w:val="00684ABC"/>
    <w:rsid w:val="00691DAA"/>
    <w:rsid w:val="006923F3"/>
    <w:rsid w:val="00694411"/>
    <w:rsid w:val="006C6092"/>
    <w:rsid w:val="006D4D88"/>
    <w:rsid w:val="007052D7"/>
    <w:rsid w:val="00711775"/>
    <w:rsid w:val="00716A3A"/>
    <w:rsid w:val="007178A4"/>
    <w:rsid w:val="0072134C"/>
    <w:rsid w:val="007265E1"/>
    <w:rsid w:val="0074502D"/>
    <w:rsid w:val="00745EC9"/>
    <w:rsid w:val="00765D77"/>
    <w:rsid w:val="00787988"/>
    <w:rsid w:val="00796217"/>
    <w:rsid w:val="00796DEB"/>
    <w:rsid w:val="007B676B"/>
    <w:rsid w:val="007E52F4"/>
    <w:rsid w:val="007E5C25"/>
    <w:rsid w:val="007F12DC"/>
    <w:rsid w:val="007F4458"/>
    <w:rsid w:val="00821A0B"/>
    <w:rsid w:val="008355A4"/>
    <w:rsid w:val="00856C46"/>
    <w:rsid w:val="00884C89"/>
    <w:rsid w:val="00885F1D"/>
    <w:rsid w:val="00896332"/>
    <w:rsid w:val="008B1B04"/>
    <w:rsid w:val="008C46D1"/>
    <w:rsid w:val="008E6986"/>
    <w:rsid w:val="00900595"/>
    <w:rsid w:val="00910F17"/>
    <w:rsid w:val="00911C13"/>
    <w:rsid w:val="00916500"/>
    <w:rsid w:val="00954894"/>
    <w:rsid w:val="00956CDE"/>
    <w:rsid w:val="009639BE"/>
    <w:rsid w:val="00971988"/>
    <w:rsid w:val="00974448"/>
    <w:rsid w:val="009764DF"/>
    <w:rsid w:val="00994606"/>
    <w:rsid w:val="009B157D"/>
    <w:rsid w:val="009B1FD1"/>
    <w:rsid w:val="009C40C7"/>
    <w:rsid w:val="009F0396"/>
    <w:rsid w:val="00A23AC1"/>
    <w:rsid w:val="00A406AF"/>
    <w:rsid w:val="00A5151C"/>
    <w:rsid w:val="00A53184"/>
    <w:rsid w:val="00A57642"/>
    <w:rsid w:val="00A6328E"/>
    <w:rsid w:val="00A66700"/>
    <w:rsid w:val="00AA6E1F"/>
    <w:rsid w:val="00AC5DAC"/>
    <w:rsid w:val="00AC6747"/>
    <w:rsid w:val="00AF2B72"/>
    <w:rsid w:val="00AF3857"/>
    <w:rsid w:val="00B12599"/>
    <w:rsid w:val="00B2589A"/>
    <w:rsid w:val="00B44C32"/>
    <w:rsid w:val="00B75CB7"/>
    <w:rsid w:val="00B819FC"/>
    <w:rsid w:val="00B81B99"/>
    <w:rsid w:val="00B82F30"/>
    <w:rsid w:val="00B91800"/>
    <w:rsid w:val="00B93CE9"/>
    <w:rsid w:val="00B96A33"/>
    <w:rsid w:val="00BA7616"/>
    <w:rsid w:val="00BE593A"/>
    <w:rsid w:val="00BF38C5"/>
    <w:rsid w:val="00C01FA6"/>
    <w:rsid w:val="00C0594B"/>
    <w:rsid w:val="00C148D3"/>
    <w:rsid w:val="00C174D7"/>
    <w:rsid w:val="00C317D2"/>
    <w:rsid w:val="00C35611"/>
    <w:rsid w:val="00C53B18"/>
    <w:rsid w:val="00C6303A"/>
    <w:rsid w:val="00CF7AA5"/>
    <w:rsid w:val="00D14A53"/>
    <w:rsid w:val="00D208C6"/>
    <w:rsid w:val="00D27EC9"/>
    <w:rsid w:val="00D33613"/>
    <w:rsid w:val="00D435F8"/>
    <w:rsid w:val="00D56C76"/>
    <w:rsid w:val="00D728F8"/>
    <w:rsid w:val="00D85A90"/>
    <w:rsid w:val="00DA5DA6"/>
    <w:rsid w:val="00DD2715"/>
    <w:rsid w:val="00DE3A94"/>
    <w:rsid w:val="00DE4B24"/>
    <w:rsid w:val="00DE57F2"/>
    <w:rsid w:val="00DF206C"/>
    <w:rsid w:val="00E266A5"/>
    <w:rsid w:val="00E439A6"/>
    <w:rsid w:val="00E53DEE"/>
    <w:rsid w:val="00E821A1"/>
    <w:rsid w:val="00E8234E"/>
    <w:rsid w:val="00E87252"/>
    <w:rsid w:val="00EC074C"/>
    <w:rsid w:val="00EC45B0"/>
    <w:rsid w:val="00EC480E"/>
    <w:rsid w:val="00EE08DE"/>
    <w:rsid w:val="00F03142"/>
    <w:rsid w:val="00F3281B"/>
    <w:rsid w:val="00F5567A"/>
    <w:rsid w:val="00F64099"/>
    <w:rsid w:val="00F737D1"/>
    <w:rsid w:val="00F94FE6"/>
    <w:rsid w:val="00FA1D86"/>
    <w:rsid w:val="00FB4A19"/>
    <w:rsid w:val="00FB712E"/>
    <w:rsid w:val="00FC3274"/>
    <w:rsid w:val="00FD0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9D76"/>
  <w15:chartTrackingRefBased/>
  <w15:docId w15:val="{1FA62512-5DE8-420A-8EDC-4DC19F68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AB9"/>
    <w:pPr>
      <w:ind w:left="720"/>
      <w:contextualSpacing/>
    </w:pPr>
  </w:style>
  <w:style w:type="paragraph" w:customStyle="1" w:styleId="paragraph">
    <w:name w:val="paragraph"/>
    <w:basedOn w:val="Normal"/>
    <w:rsid w:val="00AC5D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C5DAC"/>
  </w:style>
  <w:style w:type="character" w:customStyle="1" w:styleId="apple-converted-space">
    <w:name w:val="apple-converted-space"/>
    <w:basedOn w:val="DefaultParagraphFont"/>
    <w:rsid w:val="00AC5DAC"/>
  </w:style>
  <w:style w:type="character" w:customStyle="1" w:styleId="eop">
    <w:name w:val="eop"/>
    <w:basedOn w:val="DefaultParagraphFont"/>
    <w:rsid w:val="00AC5DAC"/>
  </w:style>
  <w:style w:type="character" w:styleId="Hyperlink">
    <w:name w:val="Hyperlink"/>
    <w:basedOn w:val="DefaultParagraphFont"/>
    <w:uiPriority w:val="99"/>
    <w:unhideWhenUsed/>
    <w:rsid w:val="00AC5DAC"/>
    <w:rPr>
      <w:color w:val="0563C1" w:themeColor="hyperlink"/>
      <w:u w:val="single"/>
    </w:rPr>
  </w:style>
  <w:style w:type="character" w:styleId="FollowedHyperlink">
    <w:name w:val="FollowedHyperlink"/>
    <w:basedOn w:val="DefaultParagraphFont"/>
    <w:uiPriority w:val="99"/>
    <w:semiHidden/>
    <w:unhideWhenUsed/>
    <w:rsid w:val="0056437E"/>
    <w:rPr>
      <w:color w:val="954F72" w:themeColor="followedHyperlink"/>
      <w:u w:val="single"/>
    </w:rPr>
  </w:style>
  <w:style w:type="character" w:customStyle="1" w:styleId="UnresolvedMention1">
    <w:name w:val="Unresolved Mention1"/>
    <w:basedOn w:val="DefaultParagraphFont"/>
    <w:uiPriority w:val="99"/>
    <w:semiHidden/>
    <w:unhideWhenUsed/>
    <w:rsid w:val="00716A3A"/>
    <w:rPr>
      <w:color w:val="605E5C"/>
      <w:shd w:val="clear" w:color="auto" w:fill="E1DFDD"/>
    </w:rPr>
  </w:style>
  <w:style w:type="paragraph" w:styleId="Revision">
    <w:name w:val="Revision"/>
    <w:hidden/>
    <w:uiPriority w:val="99"/>
    <w:semiHidden/>
    <w:rsid w:val="003701B0"/>
    <w:pPr>
      <w:spacing w:after="0" w:line="240" w:lineRule="auto"/>
    </w:pPr>
  </w:style>
  <w:style w:type="paragraph" w:styleId="Header">
    <w:name w:val="header"/>
    <w:basedOn w:val="Normal"/>
    <w:link w:val="HeaderChar"/>
    <w:uiPriority w:val="99"/>
    <w:unhideWhenUsed/>
    <w:rsid w:val="000F4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585"/>
  </w:style>
  <w:style w:type="paragraph" w:styleId="Footer">
    <w:name w:val="footer"/>
    <w:basedOn w:val="Normal"/>
    <w:link w:val="FooterChar"/>
    <w:uiPriority w:val="99"/>
    <w:unhideWhenUsed/>
    <w:rsid w:val="000F4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585"/>
  </w:style>
  <w:style w:type="character" w:styleId="CommentReference">
    <w:name w:val="annotation reference"/>
    <w:basedOn w:val="DefaultParagraphFont"/>
    <w:uiPriority w:val="99"/>
    <w:semiHidden/>
    <w:unhideWhenUsed/>
    <w:rsid w:val="00520492"/>
    <w:rPr>
      <w:sz w:val="16"/>
      <w:szCs w:val="16"/>
    </w:rPr>
  </w:style>
  <w:style w:type="paragraph" w:styleId="CommentText">
    <w:name w:val="annotation text"/>
    <w:basedOn w:val="Normal"/>
    <w:link w:val="CommentTextChar"/>
    <w:uiPriority w:val="99"/>
    <w:unhideWhenUsed/>
    <w:rsid w:val="00520492"/>
    <w:pPr>
      <w:spacing w:line="240" w:lineRule="auto"/>
    </w:pPr>
    <w:rPr>
      <w:sz w:val="20"/>
      <w:szCs w:val="20"/>
    </w:rPr>
  </w:style>
  <w:style w:type="character" w:customStyle="1" w:styleId="CommentTextChar">
    <w:name w:val="Comment Text Char"/>
    <w:basedOn w:val="DefaultParagraphFont"/>
    <w:link w:val="CommentText"/>
    <w:uiPriority w:val="99"/>
    <w:rsid w:val="00520492"/>
    <w:rPr>
      <w:sz w:val="20"/>
      <w:szCs w:val="20"/>
    </w:rPr>
  </w:style>
  <w:style w:type="paragraph" w:styleId="CommentSubject">
    <w:name w:val="annotation subject"/>
    <w:basedOn w:val="CommentText"/>
    <w:next w:val="CommentText"/>
    <w:link w:val="CommentSubjectChar"/>
    <w:uiPriority w:val="99"/>
    <w:semiHidden/>
    <w:unhideWhenUsed/>
    <w:rsid w:val="00520492"/>
    <w:rPr>
      <w:b/>
      <w:bCs/>
    </w:rPr>
  </w:style>
  <w:style w:type="character" w:customStyle="1" w:styleId="CommentSubjectChar">
    <w:name w:val="Comment Subject Char"/>
    <w:basedOn w:val="CommentTextChar"/>
    <w:link w:val="CommentSubject"/>
    <w:uiPriority w:val="99"/>
    <w:semiHidden/>
    <w:rsid w:val="00520492"/>
    <w:rPr>
      <w:b/>
      <w:bCs/>
      <w:sz w:val="20"/>
      <w:szCs w:val="20"/>
    </w:rPr>
  </w:style>
  <w:style w:type="paragraph" w:styleId="BalloonText">
    <w:name w:val="Balloon Text"/>
    <w:basedOn w:val="Normal"/>
    <w:link w:val="BalloonTextChar"/>
    <w:uiPriority w:val="99"/>
    <w:semiHidden/>
    <w:unhideWhenUsed/>
    <w:rsid w:val="00885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F1D"/>
    <w:rPr>
      <w:rFonts w:ascii="Segoe UI" w:hAnsi="Segoe UI" w:cs="Segoe UI"/>
      <w:sz w:val="18"/>
      <w:szCs w:val="18"/>
    </w:rPr>
  </w:style>
  <w:style w:type="character" w:styleId="UnresolvedMention">
    <w:name w:val="Unresolved Mention"/>
    <w:basedOn w:val="DefaultParagraphFont"/>
    <w:uiPriority w:val="99"/>
    <w:semiHidden/>
    <w:unhideWhenUsed/>
    <w:rsid w:val="00525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0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ition.uoregon.edu/updates" TargetMode="External"/><Relationship Id="rId3" Type="http://schemas.openxmlformats.org/officeDocument/2006/relationships/settings" Target="settings.xml"/><Relationship Id="rId7" Type="http://schemas.openxmlformats.org/officeDocument/2006/relationships/hyperlink" Target="https://tuition.uoregon.edu/upda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uition.uoregon.edu/up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2</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Author</cp:lastModifiedBy>
  <cp:revision>22</cp:revision>
  <dcterms:created xsi:type="dcterms:W3CDTF">2025-01-19T16:33:00Z</dcterms:created>
  <dcterms:modified xsi:type="dcterms:W3CDTF">2025-01-23T01:17:00Z</dcterms:modified>
</cp:coreProperties>
</file>