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878473" w14:textId="21F599B5" w:rsidR="00D14103" w:rsidRDefault="00D14103" w:rsidP="00BA3E53">
      <w:pPr>
        <w:spacing w:after="0" w:line="320" w:lineRule="atLeast"/>
        <w:jc w:val="center"/>
        <w:rPr>
          <w:b/>
          <w:sz w:val="28"/>
          <w:u w:val="single"/>
        </w:rPr>
      </w:pPr>
      <w:r w:rsidRPr="005A4DB4">
        <w:rPr>
          <w:b/>
          <w:sz w:val="28"/>
          <w:u w:val="single"/>
        </w:rPr>
        <w:t xml:space="preserve">TFAB-related </w:t>
      </w:r>
      <w:r w:rsidR="00F90AA0">
        <w:rPr>
          <w:b/>
          <w:sz w:val="28"/>
          <w:u w:val="single"/>
        </w:rPr>
        <w:t>A</w:t>
      </w:r>
      <w:r w:rsidRPr="005A4DB4">
        <w:rPr>
          <w:b/>
          <w:sz w:val="28"/>
          <w:u w:val="single"/>
        </w:rPr>
        <w:t>cronyms</w:t>
      </w:r>
      <w:r w:rsidR="00F90AA0">
        <w:rPr>
          <w:b/>
          <w:sz w:val="28"/>
          <w:u w:val="single"/>
        </w:rPr>
        <w:t xml:space="preserve"> and Concepts</w:t>
      </w:r>
    </w:p>
    <w:p w14:paraId="66167424" w14:textId="77777777" w:rsidR="00724BC9" w:rsidRPr="005A4DB4" w:rsidRDefault="00724BC9" w:rsidP="00BA3E53">
      <w:pPr>
        <w:spacing w:after="0" w:line="320" w:lineRule="atLeast"/>
        <w:jc w:val="center"/>
        <w:rPr>
          <w:b/>
          <w:sz w:val="28"/>
          <w:u w:val="single"/>
        </w:rPr>
      </w:pPr>
    </w:p>
    <w:p w14:paraId="74F0D6AA" w14:textId="77777777" w:rsidR="00D14103" w:rsidRPr="00782F20" w:rsidRDefault="00D14103" w:rsidP="00BA3E53">
      <w:pPr>
        <w:spacing w:after="0" w:line="320" w:lineRule="atLeast"/>
        <w:rPr>
          <w:sz w:val="24"/>
        </w:rPr>
      </w:pPr>
    </w:p>
    <w:p w14:paraId="56681C03" w14:textId="77777777" w:rsidR="00D14103" w:rsidRDefault="00D14103" w:rsidP="00BA3E53">
      <w:pPr>
        <w:spacing w:after="0" w:line="320" w:lineRule="atLeast"/>
        <w:rPr>
          <w:sz w:val="24"/>
        </w:rPr>
      </w:pPr>
      <w:r w:rsidRPr="00782F20">
        <w:rPr>
          <w:sz w:val="24"/>
        </w:rPr>
        <w:t>AAU</w:t>
      </w:r>
      <w:r>
        <w:rPr>
          <w:sz w:val="24"/>
        </w:rPr>
        <w:tab/>
      </w:r>
      <w:r>
        <w:rPr>
          <w:sz w:val="24"/>
        </w:rPr>
        <w:tab/>
      </w:r>
      <w:r>
        <w:rPr>
          <w:sz w:val="24"/>
        </w:rPr>
        <w:tab/>
        <w:t>Association of American Universities</w:t>
      </w:r>
    </w:p>
    <w:p w14:paraId="73077A6D" w14:textId="77777777" w:rsidR="00D14103" w:rsidRDefault="00D14103" w:rsidP="00BA3E53">
      <w:pPr>
        <w:spacing w:after="0" w:line="320" w:lineRule="atLeast"/>
        <w:rPr>
          <w:sz w:val="24"/>
        </w:rPr>
      </w:pPr>
      <w:r>
        <w:rPr>
          <w:sz w:val="24"/>
        </w:rPr>
        <w:tab/>
      </w:r>
      <w:r>
        <w:rPr>
          <w:sz w:val="24"/>
        </w:rPr>
        <w:tab/>
      </w:r>
      <w:r>
        <w:rPr>
          <w:sz w:val="24"/>
        </w:rPr>
        <w:tab/>
        <w:t xml:space="preserve">The AAU is composed of North America’s 62 leading research universities. </w:t>
      </w:r>
    </w:p>
    <w:p w14:paraId="00F0918D" w14:textId="77777777" w:rsidR="00D14103" w:rsidRPr="00782F20" w:rsidRDefault="00D14103" w:rsidP="00BA3E53">
      <w:pPr>
        <w:spacing w:after="0" w:line="320" w:lineRule="atLeast"/>
        <w:ind w:left="2160"/>
        <w:rPr>
          <w:sz w:val="24"/>
        </w:rPr>
      </w:pPr>
      <w:r>
        <w:rPr>
          <w:sz w:val="24"/>
        </w:rPr>
        <w:t>The UO is one of only two AAU member organizations in the Pacific Northwest.</w:t>
      </w:r>
    </w:p>
    <w:p w14:paraId="280C7BB5" w14:textId="77777777" w:rsidR="00D14103" w:rsidRPr="00782F20" w:rsidRDefault="00D14103" w:rsidP="00BA3E53">
      <w:pPr>
        <w:spacing w:after="0" w:line="320" w:lineRule="atLeast"/>
        <w:rPr>
          <w:sz w:val="24"/>
        </w:rPr>
      </w:pPr>
    </w:p>
    <w:p w14:paraId="518719C7" w14:textId="6041A793" w:rsidR="00D560A9" w:rsidRDefault="00D560A9" w:rsidP="007C63D6">
      <w:pPr>
        <w:spacing w:after="0" w:line="320" w:lineRule="atLeast"/>
        <w:ind w:left="2160" w:hanging="2160"/>
        <w:rPr>
          <w:sz w:val="24"/>
        </w:rPr>
      </w:pPr>
      <w:r w:rsidRPr="00C66658">
        <w:rPr>
          <w:sz w:val="24"/>
        </w:rPr>
        <w:t>Cost drivers</w:t>
      </w:r>
      <w:r w:rsidRPr="00C66658">
        <w:rPr>
          <w:sz w:val="24"/>
        </w:rPr>
        <w:tab/>
      </w:r>
      <w:proofErr w:type="gramStart"/>
      <w:r w:rsidR="007C63D6" w:rsidRPr="00C66658">
        <w:rPr>
          <w:sz w:val="24"/>
        </w:rPr>
        <w:t>Recurring</w:t>
      </w:r>
      <w:proofErr w:type="gramEnd"/>
      <w:r w:rsidR="007C63D6" w:rsidRPr="00C66658">
        <w:rPr>
          <w:sz w:val="24"/>
        </w:rPr>
        <w:t xml:space="preserve"> cost increases the university must cover </w:t>
      </w:r>
      <w:r w:rsidR="008702ED" w:rsidRPr="00C66658">
        <w:rPr>
          <w:sz w:val="24"/>
        </w:rPr>
        <w:t>on an ongoing basis in the future</w:t>
      </w:r>
      <w:r w:rsidR="007C63D6" w:rsidRPr="00C66658">
        <w:rPr>
          <w:sz w:val="24"/>
        </w:rPr>
        <w:t xml:space="preserve">.  </w:t>
      </w:r>
      <w:r w:rsidR="008702ED" w:rsidRPr="00C66658">
        <w:rPr>
          <w:sz w:val="24"/>
        </w:rPr>
        <w:t>The list does not include all costs that will increase at the University.  Instead</w:t>
      </w:r>
      <w:r w:rsidR="00ED188F" w:rsidRPr="00C66658">
        <w:rPr>
          <w:sz w:val="24"/>
        </w:rPr>
        <w:t>,</w:t>
      </w:r>
      <w:r w:rsidR="008702ED" w:rsidRPr="00C66658">
        <w:rPr>
          <w:sz w:val="24"/>
        </w:rPr>
        <w:t xml:space="preserve"> it outlines the major costs, such as salaries and </w:t>
      </w:r>
      <w:r w:rsidR="00366BCD" w:rsidRPr="00C66658">
        <w:rPr>
          <w:sz w:val="24"/>
        </w:rPr>
        <w:t>benefits that</w:t>
      </w:r>
      <w:r w:rsidR="008702ED" w:rsidRPr="00C66658">
        <w:rPr>
          <w:sz w:val="24"/>
        </w:rPr>
        <w:t xml:space="preserve"> </w:t>
      </w:r>
      <w:proofErr w:type="gramStart"/>
      <w:r w:rsidR="008702ED" w:rsidRPr="00C66658">
        <w:rPr>
          <w:sz w:val="24"/>
        </w:rPr>
        <w:t>are projected</w:t>
      </w:r>
      <w:proofErr w:type="gramEnd"/>
      <w:r w:rsidR="008702ED" w:rsidRPr="00C66658">
        <w:rPr>
          <w:sz w:val="24"/>
        </w:rPr>
        <w:t xml:space="preserve"> to increase across the entire institution.</w:t>
      </w:r>
    </w:p>
    <w:p w14:paraId="68737B31" w14:textId="77777777" w:rsidR="00D560A9" w:rsidRDefault="00D560A9" w:rsidP="00BA3E53">
      <w:pPr>
        <w:spacing w:after="0" w:line="320" w:lineRule="atLeast"/>
        <w:rPr>
          <w:sz w:val="24"/>
        </w:rPr>
      </w:pPr>
    </w:p>
    <w:p w14:paraId="01F28C0D" w14:textId="24D3B27F" w:rsidR="00D14103" w:rsidRPr="00782F20" w:rsidRDefault="00D14103" w:rsidP="00BA3E53">
      <w:pPr>
        <w:spacing w:after="0" w:line="320" w:lineRule="atLeast"/>
        <w:rPr>
          <w:sz w:val="24"/>
        </w:rPr>
      </w:pPr>
      <w:r w:rsidRPr="00782F20">
        <w:rPr>
          <w:sz w:val="24"/>
        </w:rPr>
        <w:t>E&amp;G fund</w:t>
      </w:r>
      <w:r w:rsidRPr="00782F20">
        <w:rPr>
          <w:sz w:val="24"/>
        </w:rPr>
        <w:tab/>
      </w:r>
      <w:r w:rsidRPr="00782F20">
        <w:rPr>
          <w:sz w:val="24"/>
        </w:rPr>
        <w:tab/>
        <w:t>Education and General Expenses fund (or Budgeted Operations)</w:t>
      </w:r>
    </w:p>
    <w:p w14:paraId="50F37DAA" w14:textId="77777777" w:rsidR="00D14103" w:rsidRPr="00782F20" w:rsidRDefault="00D14103" w:rsidP="00BA3E53">
      <w:pPr>
        <w:spacing w:after="0" w:line="320" w:lineRule="atLeast"/>
        <w:ind w:left="1440" w:firstLine="720"/>
        <w:rPr>
          <w:rFonts w:ascii="Helvetica" w:hAnsi="Helvetica"/>
          <w:color w:val="333333"/>
          <w:szCs w:val="21"/>
        </w:rPr>
      </w:pPr>
    </w:p>
    <w:p w14:paraId="2828C807" w14:textId="78553115" w:rsidR="00D14103" w:rsidRDefault="00D14103" w:rsidP="00BA3E53">
      <w:pPr>
        <w:spacing w:after="0" w:line="320" w:lineRule="atLeast"/>
        <w:rPr>
          <w:sz w:val="24"/>
        </w:rPr>
      </w:pPr>
      <w:r>
        <w:rPr>
          <w:sz w:val="24"/>
        </w:rPr>
        <w:t>F&amp;A rate/return</w:t>
      </w:r>
      <w:r>
        <w:rPr>
          <w:sz w:val="24"/>
        </w:rPr>
        <w:tab/>
        <w:t>Facilities and Administrative rate/return</w:t>
      </w:r>
    </w:p>
    <w:p w14:paraId="3F8E7E7F" w14:textId="77777777" w:rsidR="00D14103" w:rsidRDefault="00D14103" w:rsidP="00BA3E53">
      <w:pPr>
        <w:spacing w:after="0" w:line="320" w:lineRule="atLeast"/>
        <w:rPr>
          <w:sz w:val="24"/>
        </w:rPr>
      </w:pPr>
    </w:p>
    <w:p w14:paraId="22861207" w14:textId="0036CE5D" w:rsidR="00724BC9" w:rsidRPr="00C66658" w:rsidRDefault="00D560A9" w:rsidP="00BA3E53">
      <w:pPr>
        <w:spacing w:after="0" w:line="320" w:lineRule="atLeast"/>
        <w:rPr>
          <w:sz w:val="24"/>
        </w:rPr>
      </w:pPr>
      <w:r w:rsidRPr="00C66658">
        <w:rPr>
          <w:sz w:val="24"/>
        </w:rPr>
        <w:t>Fund accounting</w:t>
      </w:r>
      <w:r w:rsidRPr="00C66658">
        <w:rPr>
          <w:sz w:val="24"/>
        </w:rPr>
        <w:tab/>
      </w:r>
      <w:r w:rsidR="00724BC9" w:rsidRPr="00C66658">
        <w:rPr>
          <w:sz w:val="24"/>
        </w:rPr>
        <w:t>“Fund accounting is a system of accounting used by non-profit entities to track the</w:t>
      </w:r>
    </w:p>
    <w:p w14:paraId="72B9E939" w14:textId="77777777" w:rsidR="00724BC9" w:rsidRPr="00C66658" w:rsidRDefault="00724BC9" w:rsidP="00724BC9">
      <w:pPr>
        <w:spacing w:after="0" w:line="320" w:lineRule="atLeast"/>
        <w:ind w:left="2160"/>
        <w:rPr>
          <w:sz w:val="24"/>
        </w:rPr>
      </w:pPr>
      <w:proofErr w:type="gramStart"/>
      <w:r w:rsidRPr="00C66658">
        <w:rPr>
          <w:sz w:val="24"/>
        </w:rPr>
        <w:t>amount</w:t>
      </w:r>
      <w:proofErr w:type="gramEnd"/>
      <w:r w:rsidRPr="00C66658">
        <w:rPr>
          <w:sz w:val="24"/>
        </w:rPr>
        <w:t xml:space="preserve"> of cash assigned to different purposes and the usage of that cash. The focus of fund accounting is on accountability, rather than profitability. Those running a non-profit need enough information to make decisions about how to use limited </w:t>
      </w:r>
      <w:proofErr w:type="gramStart"/>
      <w:r w:rsidRPr="00C66658">
        <w:rPr>
          <w:sz w:val="24"/>
        </w:rPr>
        <w:t>resources</w:t>
      </w:r>
      <w:proofErr w:type="gramEnd"/>
      <w:r w:rsidRPr="00C66658">
        <w:rPr>
          <w:sz w:val="24"/>
        </w:rPr>
        <w:t xml:space="preserve">, as well as to report to third parties about how well they are preserving and using those resources.”  </w:t>
      </w:r>
    </w:p>
    <w:p w14:paraId="4E43DED4" w14:textId="546CF32D" w:rsidR="00D560A9" w:rsidRPr="00C66658" w:rsidRDefault="00305A02" w:rsidP="00724BC9">
      <w:pPr>
        <w:spacing w:after="0" w:line="320" w:lineRule="atLeast"/>
        <w:ind w:left="2160"/>
        <w:rPr>
          <w:sz w:val="24"/>
        </w:rPr>
      </w:pPr>
      <w:hyperlink r:id="rId8" w:history="1">
        <w:r w:rsidR="00724BC9" w:rsidRPr="00C66658">
          <w:rPr>
            <w:rStyle w:val="Hyperlink"/>
            <w:sz w:val="24"/>
          </w:rPr>
          <w:t>https://www.accountingtools.com/articles/fund-accounting.html</w:t>
        </w:r>
      </w:hyperlink>
      <w:r w:rsidR="00724BC9" w:rsidRPr="00C66658">
        <w:rPr>
          <w:sz w:val="24"/>
        </w:rPr>
        <w:t xml:space="preserve"> </w:t>
      </w:r>
    </w:p>
    <w:p w14:paraId="25671227" w14:textId="77777777" w:rsidR="00D560A9" w:rsidRPr="00C66658" w:rsidRDefault="00D560A9" w:rsidP="00BA3E53">
      <w:pPr>
        <w:spacing w:after="0" w:line="320" w:lineRule="atLeast"/>
        <w:rPr>
          <w:sz w:val="24"/>
        </w:rPr>
      </w:pPr>
    </w:p>
    <w:p w14:paraId="5897B2B0" w14:textId="21967DDC" w:rsidR="00D14103" w:rsidRPr="00C66658" w:rsidRDefault="00D14103" w:rsidP="00BA3E53">
      <w:pPr>
        <w:spacing w:after="0" w:line="320" w:lineRule="atLeast"/>
        <w:rPr>
          <w:sz w:val="24"/>
        </w:rPr>
      </w:pPr>
      <w:r w:rsidRPr="00C66658">
        <w:rPr>
          <w:sz w:val="24"/>
        </w:rPr>
        <w:t>FTE</w:t>
      </w:r>
      <w:r w:rsidRPr="00C66658">
        <w:rPr>
          <w:sz w:val="24"/>
        </w:rPr>
        <w:tab/>
      </w:r>
      <w:r w:rsidRPr="00C66658">
        <w:rPr>
          <w:sz w:val="24"/>
        </w:rPr>
        <w:tab/>
      </w:r>
      <w:r w:rsidRPr="00C66658">
        <w:rPr>
          <w:sz w:val="24"/>
        </w:rPr>
        <w:tab/>
        <w:t>Full-time equivalent</w:t>
      </w:r>
    </w:p>
    <w:p w14:paraId="4EAF00FF" w14:textId="77777777" w:rsidR="00D14103" w:rsidRPr="00C66658" w:rsidRDefault="00D14103" w:rsidP="00BA3E53">
      <w:pPr>
        <w:spacing w:after="0" w:line="320" w:lineRule="atLeast"/>
        <w:rPr>
          <w:sz w:val="24"/>
        </w:rPr>
      </w:pPr>
    </w:p>
    <w:p w14:paraId="1049232F" w14:textId="77777777" w:rsidR="00F90AA0" w:rsidRPr="00C66658" w:rsidRDefault="00D14103" w:rsidP="00BA3E53">
      <w:pPr>
        <w:spacing w:after="0" w:line="320" w:lineRule="atLeast"/>
        <w:rPr>
          <w:sz w:val="24"/>
        </w:rPr>
      </w:pPr>
      <w:r w:rsidRPr="00C66658">
        <w:rPr>
          <w:sz w:val="24"/>
        </w:rPr>
        <w:t>FY</w:t>
      </w:r>
      <w:r w:rsidRPr="00C66658">
        <w:rPr>
          <w:sz w:val="24"/>
        </w:rPr>
        <w:tab/>
      </w:r>
      <w:r w:rsidRPr="00C66658">
        <w:rPr>
          <w:sz w:val="24"/>
        </w:rPr>
        <w:tab/>
      </w:r>
      <w:r w:rsidRPr="00C66658">
        <w:rPr>
          <w:sz w:val="24"/>
        </w:rPr>
        <w:tab/>
        <w:t>Fiscal Year. The UO uses July 1 through June 30 as its fiscal year.</w:t>
      </w:r>
      <w:r w:rsidR="00F90AA0" w:rsidRPr="00C66658">
        <w:rPr>
          <w:sz w:val="24"/>
        </w:rPr>
        <w:t xml:space="preserve"> </w:t>
      </w:r>
    </w:p>
    <w:p w14:paraId="2AC62888" w14:textId="16F00053" w:rsidR="00D14103" w:rsidRPr="00C66658" w:rsidRDefault="00F90AA0" w:rsidP="00F90AA0">
      <w:pPr>
        <w:spacing w:after="0" w:line="320" w:lineRule="atLeast"/>
        <w:ind w:left="1440" w:firstLine="720"/>
        <w:rPr>
          <w:sz w:val="24"/>
        </w:rPr>
      </w:pPr>
      <w:r w:rsidRPr="00C66658">
        <w:rPr>
          <w:sz w:val="24"/>
        </w:rPr>
        <w:t>FY22 runs from July 1, 2021 through June 30, 2022.</w:t>
      </w:r>
    </w:p>
    <w:p w14:paraId="0F0DA07B" w14:textId="77777777" w:rsidR="00D14103" w:rsidRPr="00C66658" w:rsidRDefault="00D14103" w:rsidP="00BA3E53">
      <w:pPr>
        <w:spacing w:after="0" w:line="320" w:lineRule="atLeast"/>
        <w:rPr>
          <w:sz w:val="24"/>
        </w:rPr>
      </w:pPr>
    </w:p>
    <w:p w14:paraId="18D25592" w14:textId="77777777" w:rsidR="00D14103" w:rsidRPr="00C66658" w:rsidRDefault="00D14103" w:rsidP="00BA3E53">
      <w:pPr>
        <w:spacing w:after="0" w:line="320" w:lineRule="atLeast"/>
        <w:rPr>
          <w:sz w:val="24"/>
        </w:rPr>
      </w:pPr>
      <w:r w:rsidRPr="00C66658">
        <w:rPr>
          <w:sz w:val="24"/>
        </w:rPr>
        <w:t>GE</w:t>
      </w:r>
      <w:r w:rsidRPr="00C66658">
        <w:rPr>
          <w:sz w:val="24"/>
        </w:rPr>
        <w:tab/>
      </w:r>
      <w:r w:rsidRPr="00C66658">
        <w:rPr>
          <w:sz w:val="24"/>
        </w:rPr>
        <w:tab/>
      </w:r>
      <w:r w:rsidRPr="00C66658">
        <w:rPr>
          <w:sz w:val="24"/>
        </w:rPr>
        <w:tab/>
        <w:t>Graduate Employee</w:t>
      </w:r>
    </w:p>
    <w:p w14:paraId="58296F12" w14:textId="77777777" w:rsidR="00D14103" w:rsidRPr="00C66658" w:rsidRDefault="00D14103" w:rsidP="00BA3E53">
      <w:pPr>
        <w:spacing w:after="0" w:line="320" w:lineRule="atLeast"/>
        <w:rPr>
          <w:sz w:val="24"/>
        </w:rPr>
      </w:pPr>
    </w:p>
    <w:p w14:paraId="4896E5BF" w14:textId="77777777" w:rsidR="00D14103" w:rsidRPr="00C66658" w:rsidRDefault="00D14103" w:rsidP="00BA3E53">
      <w:pPr>
        <w:spacing w:after="0" w:line="320" w:lineRule="atLeast"/>
        <w:rPr>
          <w:sz w:val="24"/>
        </w:rPr>
      </w:pPr>
      <w:r w:rsidRPr="00C66658">
        <w:rPr>
          <w:sz w:val="24"/>
        </w:rPr>
        <w:t>HECC</w:t>
      </w:r>
      <w:r w:rsidRPr="00C66658">
        <w:rPr>
          <w:sz w:val="24"/>
        </w:rPr>
        <w:tab/>
      </w:r>
      <w:r w:rsidRPr="00C66658">
        <w:rPr>
          <w:sz w:val="24"/>
        </w:rPr>
        <w:tab/>
      </w:r>
      <w:r w:rsidRPr="00C66658">
        <w:rPr>
          <w:sz w:val="24"/>
        </w:rPr>
        <w:tab/>
        <w:t>Higher Education Coordinating Commission</w:t>
      </w:r>
    </w:p>
    <w:p w14:paraId="5FF8B2EA" w14:textId="77777777" w:rsidR="00D14103" w:rsidRPr="00C66658" w:rsidRDefault="00D14103" w:rsidP="00BA3E53">
      <w:pPr>
        <w:spacing w:after="0" w:line="320" w:lineRule="atLeast"/>
        <w:ind w:left="2160"/>
        <w:rPr>
          <w:sz w:val="24"/>
        </w:rPr>
      </w:pPr>
      <w:r w:rsidRPr="00C66658">
        <w:rPr>
          <w:sz w:val="24"/>
        </w:rPr>
        <w:t>The HECC sets state policy and funding strategies, administers numerous programs and over $1.2 billion annually of public funding, and convenes partners working across the public and private higher education arena to achieve state goals. (</w:t>
      </w:r>
      <w:hyperlink r:id="rId9" w:history="1">
        <w:r w:rsidRPr="00C66658">
          <w:rPr>
            <w:rStyle w:val="Hyperlink"/>
            <w:sz w:val="24"/>
          </w:rPr>
          <w:t>HECC</w:t>
        </w:r>
      </w:hyperlink>
      <w:r w:rsidRPr="00C66658">
        <w:rPr>
          <w:sz w:val="24"/>
        </w:rPr>
        <w:t>)</w:t>
      </w:r>
    </w:p>
    <w:p w14:paraId="62F4B5BD" w14:textId="77777777" w:rsidR="00D14103" w:rsidRPr="00C66658" w:rsidRDefault="00D14103" w:rsidP="00BA3E53">
      <w:pPr>
        <w:spacing w:after="0" w:line="320" w:lineRule="atLeast"/>
        <w:ind w:left="2160"/>
        <w:rPr>
          <w:sz w:val="24"/>
        </w:rPr>
      </w:pPr>
    </w:p>
    <w:p w14:paraId="60ED01BA" w14:textId="77777777" w:rsidR="00D14103" w:rsidRPr="00C66658" w:rsidRDefault="00D14103" w:rsidP="00BA3E53">
      <w:pPr>
        <w:spacing w:after="0" w:line="320" w:lineRule="atLeast"/>
        <w:ind w:left="2160" w:hanging="2160"/>
        <w:rPr>
          <w:sz w:val="24"/>
        </w:rPr>
      </w:pPr>
      <w:r w:rsidRPr="00C66658">
        <w:rPr>
          <w:sz w:val="24"/>
        </w:rPr>
        <w:t xml:space="preserve">ICC </w:t>
      </w:r>
      <w:r w:rsidRPr="00C66658">
        <w:rPr>
          <w:sz w:val="24"/>
        </w:rPr>
        <w:tab/>
        <w:t>Indirect Cost Credits – revenue generated from the F&amp;A rate charged to sponsored grants.</w:t>
      </w:r>
    </w:p>
    <w:p w14:paraId="7F683640" w14:textId="77777777" w:rsidR="00D14103" w:rsidRPr="00C66658" w:rsidRDefault="00D14103" w:rsidP="00BA3E53">
      <w:pPr>
        <w:spacing w:after="0" w:line="320" w:lineRule="atLeast"/>
        <w:rPr>
          <w:sz w:val="24"/>
        </w:rPr>
      </w:pPr>
    </w:p>
    <w:p w14:paraId="5BF634DA" w14:textId="77777777" w:rsidR="00D14103" w:rsidRPr="00C66658" w:rsidRDefault="00D14103" w:rsidP="00BA3E53">
      <w:pPr>
        <w:spacing w:after="0" w:line="320" w:lineRule="atLeast"/>
        <w:rPr>
          <w:sz w:val="24"/>
        </w:rPr>
      </w:pPr>
      <w:r w:rsidRPr="00C66658">
        <w:rPr>
          <w:sz w:val="24"/>
        </w:rPr>
        <w:t>Pac-12</w:t>
      </w:r>
      <w:r w:rsidRPr="00C66658">
        <w:rPr>
          <w:sz w:val="24"/>
        </w:rPr>
        <w:tab/>
      </w:r>
      <w:r w:rsidRPr="00C66658">
        <w:rPr>
          <w:sz w:val="24"/>
        </w:rPr>
        <w:tab/>
      </w:r>
      <w:r w:rsidRPr="00C66658">
        <w:rPr>
          <w:sz w:val="24"/>
        </w:rPr>
        <w:tab/>
        <w:t xml:space="preserve">Collegiate athletic conference that operates in the Western US (12 colleges </w:t>
      </w:r>
    </w:p>
    <w:p w14:paraId="0F5675ED" w14:textId="79C42707" w:rsidR="00D14103" w:rsidRPr="00C66658" w:rsidRDefault="00D14103" w:rsidP="00BA3E53">
      <w:pPr>
        <w:spacing w:after="0" w:line="320" w:lineRule="atLeast"/>
        <w:ind w:left="1440" w:firstLine="720"/>
        <w:rPr>
          <w:sz w:val="24"/>
        </w:rPr>
      </w:pPr>
      <w:proofErr w:type="gramStart"/>
      <w:r w:rsidRPr="00C66658">
        <w:rPr>
          <w:sz w:val="24"/>
        </w:rPr>
        <w:t>from</w:t>
      </w:r>
      <w:proofErr w:type="gramEnd"/>
      <w:r w:rsidRPr="00C66658">
        <w:rPr>
          <w:sz w:val="24"/>
        </w:rPr>
        <w:t xml:space="preserve"> Arizona, California, Colorado, Oregon, Utah, and Washington)</w:t>
      </w:r>
      <w:r w:rsidR="00CF4572" w:rsidRPr="00C66658">
        <w:rPr>
          <w:sz w:val="24"/>
        </w:rPr>
        <w:t>.</w:t>
      </w:r>
    </w:p>
    <w:p w14:paraId="02F6B9B4" w14:textId="2C603168" w:rsidR="00D14103" w:rsidRPr="00C66658" w:rsidRDefault="00D14103" w:rsidP="00BA3E53">
      <w:pPr>
        <w:spacing w:after="0" w:line="320" w:lineRule="atLeast"/>
        <w:rPr>
          <w:sz w:val="24"/>
        </w:rPr>
      </w:pPr>
    </w:p>
    <w:p w14:paraId="08BA5006" w14:textId="42D25CB4" w:rsidR="00F92DAE" w:rsidRDefault="00D560A9" w:rsidP="00D560A9">
      <w:pPr>
        <w:spacing w:after="0" w:line="320" w:lineRule="atLeast"/>
        <w:ind w:left="2160" w:hanging="2160"/>
        <w:rPr>
          <w:sz w:val="24"/>
        </w:rPr>
      </w:pPr>
      <w:r w:rsidRPr="00C66658">
        <w:rPr>
          <w:sz w:val="24"/>
        </w:rPr>
        <w:lastRenderedPageBreak/>
        <w:t>OPE</w:t>
      </w:r>
      <w:r w:rsidRPr="00C66658">
        <w:rPr>
          <w:sz w:val="24"/>
        </w:rPr>
        <w:tab/>
        <w:t>Other perso</w:t>
      </w:r>
      <w:r w:rsidR="00305A02">
        <w:rPr>
          <w:sz w:val="24"/>
        </w:rPr>
        <w:t>nnel expenses (fringe benefits)</w:t>
      </w:r>
      <w:bookmarkStart w:id="0" w:name="_GoBack"/>
      <w:bookmarkEnd w:id="0"/>
    </w:p>
    <w:p w14:paraId="56962950" w14:textId="5B633A24" w:rsidR="00D560A9" w:rsidRPr="00C66658" w:rsidRDefault="00B57A91" w:rsidP="00F92DAE">
      <w:pPr>
        <w:spacing w:after="0" w:line="320" w:lineRule="atLeast"/>
        <w:ind w:left="2160"/>
        <w:rPr>
          <w:sz w:val="24"/>
        </w:rPr>
      </w:pPr>
      <w:r w:rsidRPr="00C66658">
        <w:rPr>
          <w:sz w:val="24"/>
        </w:rPr>
        <w:t>At the UO, this</w:t>
      </w:r>
      <w:r w:rsidR="00D560A9" w:rsidRPr="00C66658">
        <w:rPr>
          <w:sz w:val="24"/>
        </w:rPr>
        <w:t xml:space="preserve"> </w:t>
      </w:r>
      <w:proofErr w:type="gramStart"/>
      <w:r w:rsidR="00D560A9" w:rsidRPr="00C66658">
        <w:rPr>
          <w:sz w:val="24"/>
        </w:rPr>
        <w:t>is</w:t>
      </w:r>
      <w:r w:rsidRPr="00C66658">
        <w:rPr>
          <w:sz w:val="24"/>
        </w:rPr>
        <w:t xml:space="preserve"> charged</w:t>
      </w:r>
      <w:proofErr w:type="gramEnd"/>
      <w:r w:rsidRPr="00C66658">
        <w:rPr>
          <w:sz w:val="24"/>
        </w:rPr>
        <w:t xml:space="preserve"> as</w:t>
      </w:r>
      <w:r w:rsidR="00D560A9" w:rsidRPr="00C66658">
        <w:rPr>
          <w:sz w:val="24"/>
        </w:rPr>
        <w:t xml:space="preserve"> a fixed rate to departments based on an employee’s classification and type of earnings. </w:t>
      </w:r>
      <w:r w:rsidRPr="00C66658">
        <w:rPr>
          <w:sz w:val="24"/>
        </w:rPr>
        <w:t>It covers benefits such as health insurance and retirement.</w:t>
      </w:r>
    </w:p>
    <w:p w14:paraId="740BC5FA" w14:textId="77777777" w:rsidR="00D560A9" w:rsidRPr="00C66658" w:rsidRDefault="00D560A9" w:rsidP="00BA3E53">
      <w:pPr>
        <w:spacing w:after="0" w:line="320" w:lineRule="atLeast"/>
        <w:rPr>
          <w:sz w:val="24"/>
        </w:rPr>
      </w:pPr>
    </w:p>
    <w:p w14:paraId="01541F54" w14:textId="7DC14600" w:rsidR="00F90AA0" w:rsidRPr="00C66658" w:rsidRDefault="00F90AA0" w:rsidP="00724BC9">
      <w:pPr>
        <w:spacing w:after="0" w:line="320" w:lineRule="atLeast"/>
        <w:ind w:left="2160" w:hanging="2160"/>
        <w:rPr>
          <w:sz w:val="24"/>
        </w:rPr>
      </w:pPr>
      <w:r w:rsidRPr="00C66658">
        <w:rPr>
          <w:sz w:val="24"/>
        </w:rPr>
        <w:t>Pathway</w:t>
      </w:r>
      <w:r w:rsidR="00724BC9" w:rsidRPr="00C66658">
        <w:rPr>
          <w:sz w:val="24"/>
        </w:rPr>
        <w:t>Oregon</w:t>
      </w:r>
      <w:r w:rsidR="00724BC9" w:rsidRPr="00C66658">
        <w:rPr>
          <w:sz w:val="24"/>
        </w:rPr>
        <w:tab/>
        <w:t>UO program ensuring that academically qualified, Federal Pell Grant–eligible Oregonians will have their tuition and fees paid through a combination of federal, state, and university funds. In addition to financial support, the program provides comprehensive academic support and career guidance.</w:t>
      </w:r>
    </w:p>
    <w:p w14:paraId="33154DA6" w14:textId="77777777" w:rsidR="00F90AA0" w:rsidRPr="00C66658" w:rsidRDefault="00F90AA0" w:rsidP="00BA3E53">
      <w:pPr>
        <w:spacing w:after="0" w:line="320" w:lineRule="atLeast"/>
        <w:rPr>
          <w:sz w:val="24"/>
        </w:rPr>
      </w:pPr>
    </w:p>
    <w:p w14:paraId="4E3ECF22" w14:textId="77777777" w:rsidR="00D14103" w:rsidRPr="00C66658" w:rsidRDefault="00D14103" w:rsidP="00BA3E53">
      <w:pPr>
        <w:spacing w:after="0" w:line="320" w:lineRule="atLeast"/>
        <w:rPr>
          <w:sz w:val="24"/>
        </w:rPr>
      </w:pPr>
      <w:r w:rsidRPr="00C66658">
        <w:rPr>
          <w:sz w:val="24"/>
        </w:rPr>
        <w:t>PEBB</w:t>
      </w:r>
      <w:r w:rsidRPr="00C66658">
        <w:rPr>
          <w:sz w:val="24"/>
        </w:rPr>
        <w:tab/>
      </w:r>
      <w:r w:rsidRPr="00C66658">
        <w:rPr>
          <w:sz w:val="24"/>
        </w:rPr>
        <w:tab/>
      </w:r>
      <w:r w:rsidRPr="00C66658">
        <w:rPr>
          <w:sz w:val="24"/>
        </w:rPr>
        <w:tab/>
        <w:t>Public Employees Benefit Board</w:t>
      </w:r>
    </w:p>
    <w:p w14:paraId="5A9D33A7" w14:textId="1CD04935" w:rsidR="00D14103" w:rsidRPr="00C66658" w:rsidRDefault="00C66658" w:rsidP="00BA3E53">
      <w:pPr>
        <w:spacing w:after="0" w:line="320" w:lineRule="atLeast"/>
        <w:ind w:left="2160"/>
        <w:rPr>
          <w:sz w:val="24"/>
        </w:rPr>
      </w:pPr>
      <w:r>
        <w:rPr>
          <w:sz w:val="24"/>
        </w:rPr>
        <w:t>PEBB purchases and coordinates h</w:t>
      </w:r>
      <w:r w:rsidR="00D14103" w:rsidRPr="00C66658">
        <w:rPr>
          <w:sz w:val="24"/>
        </w:rPr>
        <w:t>ealth insurance benefits for approximately 140,000 Oregonians. (</w:t>
      </w:r>
      <w:hyperlink r:id="rId10" w:history="1">
        <w:r w:rsidR="00D14103" w:rsidRPr="00C66658">
          <w:rPr>
            <w:rStyle w:val="Hyperlink"/>
            <w:sz w:val="24"/>
          </w:rPr>
          <w:t>PEBB</w:t>
        </w:r>
      </w:hyperlink>
      <w:r w:rsidR="00D14103" w:rsidRPr="00C66658">
        <w:rPr>
          <w:sz w:val="24"/>
        </w:rPr>
        <w:t>)</w:t>
      </w:r>
      <w:r w:rsidR="00B57A91" w:rsidRPr="00C66658">
        <w:rPr>
          <w:sz w:val="24"/>
        </w:rPr>
        <w:t>.  The UO is legally required to offer PEBB health insurance to its faculty and staff.</w:t>
      </w:r>
    </w:p>
    <w:p w14:paraId="5BD37884" w14:textId="77777777" w:rsidR="00D14103" w:rsidRPr="00C66658" w:rsidRDefault="00D14103" w:rsidP="00BA3E53">
      <w:pPr>
        <w:spacing w:after="0" w:line="320" w:lineRule="atLeast"/>
        <w:rPr>
          <w:sz w:val="24"/>
        </w:rPr>
      </w:pPr>
    </w:p>
    <w:p w14:paraId="5AC33A8A" w14:textId="5C3966CC" w:rsidR="00D14103" w:rsidRPr="00C66658" w:rsidRDefault="00D14103" w:rsidP="00BA3E53">
      <w:pPr>
        <w:spacing w:after="0" w:line="320" w:lineRule="atLeast"/>
        <w:rPr>
          <w:sz w:val="24"/>
        </w:rPr>
      </w:pPr>
      <w:r w:rsidRPr="00C66658">
        <w:rPr>
          <w:sz w:val="24"/>
        </w:rPr>
        <w:t>PERS</w:t>
      </w:r>
      <w:r w:rsidRPr="00C66658">
        <w:rPr>
          <w:sz w:val="24"/>
        </w:rPr>
        <w:tab/>
      </w:r>
      <w:r w:rsidRPr="00C66658">
        <w:rPr>
          <w:sz w:val="24"/>
        </w:rPr>
        <w:tab/>
      </w:r>
      <w:r w:rsidRPr="00C66658">
        <w:rPr>
          <w:sz w:val="24"/>
        </w:rPr>
        <w:tab/>
        <w:t xml:space="preserve">Public Employees Retirement System – Tiers 1 and 2, </w:t>
      </w:r>
      <w:r w:rsidR="00AC285E" w:rsidRPr="00C66658">
        <w:rPr>
          <w:sz w:val="24"/>
        </w:rPr>
        <w:t xml:space="preserve">and </w:t>
      </w:r>
      <w:r w:rsidRPr="00C66658">
        <w:rPr>
          <w:sz w:val="24"/>
        </w:rPr>
        <w:t xml:space="preserve">OPSRP (Oregon Public </w:t>
      </w:r>
    </w:p>
    <w:p w14:paraId="0EA9B121" w14:textId="225954E7" w:rsidR="00D14103" w:rsidRPr="00C66658" w:rsidRDefault="00D14103" w:rsidP="00C66658">
      <w:pPr>
        <w:spacing w:after="0" w:line="320" w:lineRule="atLeast"/>
        <w:ind w:left="2160"/>
        <w:rPr>
          <w:sz w:val="24"/>
        </w:rPr>
      </w:pPr>
      <w:r w:rsidRPr="00C66658">
        <w:rPr>
          <w:sz w:val="24"/>
        </w:rPr>
        <w:t>Service Retirement Plan)</w:t>
      </w:r>
      <w:r w:rsidR="00CF4572" w:rsidRPr="00C66658">
        <w:rPr>
          <w:sz w:val="24"/>
        </w:rPr>
        <w:t>.</w:t>
      </w:r>
      <w:r w:rsidRPr="00C66658">
        <w:rPr>
          <w:sz w:val="24"/>
        </w:rPr>
        <w:t xml:space="preserve"> </w:t>
      </w:r>
      <w:r w:rsidR="00B57A91" w:rsidRPr="00C66658">
        <w:rPr>
          <w:sz w:val="24"/>
        </w:rPr>
        <w:t xml:space="preserve">  The UO is legally required to offer PERS retirement benefits to its fa</w:t>
      </w:r>
      <w:r w:rsidR="00C66658">
        <w:rPr>
          <w:sz w:val="24"/>
        </w:rPr>
        <w:t>c</w:t>
      </w:r>
      <w:r w:rsidR="00B57A91" w:rsidRPr="00C66658">
        <w:rPr>
          <w:sz w:val="24"/>
        </w:rPr>
        <w:t>ulty and staff.</w:t>
      </w:r>
    </w:p>
    <w:p w14:paraId="1EFCEF2B" w14:textId="77777777" w:rsidR="00D14103" w:rsidRPr="00C66658" w:rsidRDefault="00D14103" w:rsidP="00BA3E53">
      <w:pPr>
        <w:spacing w:after="0" w:line="320" w:lineRule="atLeast"/>
        <w:rPr>
          <w:sz w:val="24"/>
        </w:rPr>
      </w:pPr>
    </w:p>
    <w:p w14:paraId="5CC6DA6E" w14:textId="62D318D5" w:rsidR="007E6093" w:rsidRPr="00C66658" w:rsidRDefault="007E6093" w:rsidP="0041356D">
      <w:pPr>
        <w:spacing w:after="0" w:line="320" w:lineRule="atLeast"/>
        <w:ind w:left="2160" w:hanging="2160"/>
        <w:rPr>
          <w:sz w:val="24"/>
        </w:rPr>
      </w:pPr>
      <w:r w:rsidRPr="00C66658">
        <w:rPr>
          <w:sz w:val="24"/>
        </w:rPr>
        <w:t>PPR</w:t>
      </w:r>
      <w:r w:rsidRPr="00C66658">
        <w:rPr>
          <w:sz w:val="24"/>
        </w:rPr>
        <w:tab/>
        <w:t>Progressive Pay Reduction Plan</w:t>
      </w:r>
      <w:r w:rsidR="00B57A91" w:rsidRPr="00C66658">
        <w:rPr>
          <w:sz w:val="24"/>
        </w:rPr>
        <w:t xml:space="preserve">.  This was a </w:t>
      </w:r>
      <w:r w:rsidR="00F60BAD" w:rsidRPr="00C66658">
        <w:rPr>
          <w:sz w:val="24"/>
        </w:rPr>
        <w:t xml:space="preserve">temporary salary reduction </w:t>
      </w:r>
      <w:r w:rsidR="00B57A91" w:rsidRPr="00C66658">
        <w:rPr>
          <w:sz w:val="24"/>
        </w:rPr>
        <w:t xml:space="preserve">plan developed in case the UO needed to make significant budget cuts in response to the pandemic.  It </w:t>
      </w:r>
      <w:proofErr w:type="gramStart"/>
      <w:r w:rsidR="00B57A91" w:rsidRPr="00C66658">
        <w:rPr>
          <w:sz w:val="24"/>
        </w:rPr>
        <w:t>was not implemented</w:t>
      </w:r>
      <w:proofErr w:type="gramEnd"/>
      <w:r w:rsidR="00B57A91" w:rsidRPr="00C66658">
        <w:rPr>
          <w:sz w:val="24"/>
        </w:rPr>
        <w:t>.</w:t>
      </w:r>
    </w:p>
    <w:p w14:paraId="7F184224" w14:textId="77777777" w:rsidR="007E6093" w:rsidRPr="00C66658" w:rsidRDefault="007E6093" w:rsidP="0041356D">
      <w:pPr>
        <w:spacing w:after="0" w:line="320" w:lineRule="atLeast"/>
        <w:ind w:left="2160" w:hanging="2160"/>
        <w:rPr>
          <w:sz w:val="24"/>
        </w:rPr>
      </w:pPr>
    </w:p>
    <w:p w14:paraId="68701697" w14:textId="0355DAC3" w:rsidR="00D14103" w:rsidRPr="00C66658" w:rsidRDefault="00D14103" w:rsidP="0041356D">
      <w:pPr>
        <w:spacing w:after="0" w:line="320" w:lineRule="atLeast"/>
        <w:ind w:left="2160" w:hanging="2160"/>
        <w:rPr>
          <w:sz w:val="24"/>
        </w:rPr>
      </w:pPr>
      <w:r w:rsidRPr="00C66658">
        <w:rPr>
          <w:sz w:val="24"/>
        </w:rPr>
        <w:t>PUSF</w:t>
      </w:r>
      <w:r w:rsidRPr="00C66658">
        <w:rPr>
          <w:sz w:val="24"/>
        </w:rPr>
        <w:tab/>
        <w:t xml:space="preserve">Public University Support Fund </w:t>
      </w:r>
      <w:r w:rsidR="006663BF" w:rsidRPr="00C66658">
        <w:rPr>
          <w:sz w:val="24"/>
        </w:rPr>
        <w:t>- The</w:t>
      </w:r>
      <w:r w:rsidR="00B57A91" w:rsidRPr="00C66658">
        <w:rPr>
          <w:sz w:val="24"/>
        </w:rPr>
        <w:t xml:space="preserve"> main pool of funds allocated by the state for operating support of the public universities in Oregon.  The HECC distributes th</w:t>
      </w:r>
      <w:r w:rsidR="00AC383E" w:rsidRPr="00C66658">
        <w:rPr>
          <w:sz w:val="24"/>
        </w:rPr>
        <w:t>is</w:t>
      </w:r>
      <w:r w:rsidR="00B57A91" w:rsidRPr="00C66658">
        <w:rPr>
          <w:sz w:val="24"/>
        </w:rPr>
        <w:t xml:space="preserve"> funding through its SSCM model.  </w:t>
      </w:r>
    </w:p>
    <w:p w14:paraId="47BE6307" w14:textId="44CFC925" w:rsidR="0041356D" w:rsidRPr="00C66658" w:rsidRDefault="0041356D" w:rsidP="0041356D">
      <w:pPr>
        <w:spacing w:after="0" w:line="320" w:lineRule="atLeast"/>
        <w:ind w:left="2160" w:hanging="2160"/>
        <w:rPr>
          <w:sz w:val="24"/>
        </w:rPr>
      </w:pPr>
    </w:p>
    <w:p w14:paraId="72646DA6" w14:textId="38FB51A5" w:rsidR="0041356D" w:rsidRPr="00C66658" w:rsidRDefault="0041356D" w:rsidP="0041356D">
      <w:pPr>
        <w:spacing w:after="0" w:line="320" w:lineRule="atLeast"/>
        <w:ind w:left="2160" w:hanging="2160"/>
        <w:rPr>
          <w:sz w:val="24"/>
        </w:rPr>
      </w:pPr>
      <w:r w:rsidRPr="00C66658">
        <w:rPr>
          <w:sz w:val="24"/>
        </w:rPr>
        <w:t>S&amp;S</w:t>
      </w:r>
      <w:r w:rsidRPr="00C66658">
        <w:rPr>
          <w:sz w:val="24"/>
        </w:rPr>
        <w:tab/>
      </w:r>
      <w:r w:rsidR="007C63D6" w:rsidRPr="00C66658">
        <w:rPr>
          <w:sz w:val="24"/>
        </w:rPr>
        <w:t xml:space="preserve">Supplies and </w:t>
      </w:r>
      <w:r w:rsidRPr="00C66658">
        <w:rPr>
          <w:sz w:val="24"/>
        </w:rPr>
        <w:t>Services</w:t>
      </w:r>
      <w:r w:rsidR="00855240" w:rsidRPr="00C66658">
        <w:rPr>
          <w:sz w:val="24"/>
        </w:rPr>
        <w:t>: includes stationery, travel, computers, etc.</w:t>
      </w:r>
    </w:p>
    <w:p w14:paraId="2F1F941F" w14:textId="734DB161" w:rsidR="00D14103" w:rsidRPr="00C66658" w:rsidRDefault="00D14103" w:rsidP="00BA3E53">
      <w:pPr>
        <w:spacing w:after="0" w:line="320" w:lineRule="atLeast"/>
        <w:rPr>
          <w:sz w:val="24"/>
        </w:rPr>
      </w:pPr>
    </w:p>
    <w:p w14:paraId="0C998580" w14:textId="06472AB5" w:rsidR="00696F5D" w:rsidRPr="00C66658" w:rsidRDefault="00696F5D" w:rsidP="00BA3E53">
      <w:pPr>
        <w:spacing w:after="0" w:line="320" w:lineRule="atLeast"/>
        <w:rPr>
          <w:sz w:val="24"/>
        </w:rPr>
      </w:pPr>
      <w:r w:rsidRPr="00C66658">
        <w:rPr>
          <w:sz w:val="24"/>
        </w:rPr>
        <w:t>SCH</w:t>
      </w:r>
      <w:r w:rsidRPr="00C66658">
        <w:rPr>
          <w:sz w:val="24"/>
        </w:rPr>
        <w:tab/>
      </w:r>
      <w:r w:rsidRPr="00C66658">
        <w:rPr>
          <w:sz w:val="24"/>
        </w:rPr>
        <w:tab/>
      </w:r>
      <w:r w:rsidRPr="00C66658">
        <w:rPr>
          <w:sz w:val="24"/>
        </w:rPr>
        <w:tab/>
        <w:t>Student Credit Hours</w:t>
      </w:r>
    </w:p>
    <w:p w14:paraId="3149F657" w14:textId="77777777" w:rsidR="00696F5D" w:rsidRPr="00C66658" w:rsidRDefault="00696F5D" w:rsidP="00BA3E53">
      <w:pPr>
        <w:spacing w:after="0" w:line="320" w:lineRule="atLeast"/>
        <w:rPr>
          <w:sz w:val="24"/>
        </w:rPr>
      </w:pPr>
    </w:p>
    <w:p w14:paraId="069AD7A5" w14:textId="0FB61AB9" w:rsidR="00696F5D" w:rsidRPr="00C66658" w:rsidRDefault="00696F5D" w:rsidP="00C66658">
      <w:pPr>
        <w:spacing w:after="0" w:line="320" w:lineRule="atLeast"/>
        <w:ind w:left="2160" w:hanging="2160"/>
        <w:rPr>
          <w:sz w:val="24"/>
        </w:rPr>
      </w:pPr>
      <w:r w:rsidRPr="00C66658">
        <w:rPr>
          <w:sz w:val="24"/>
        </w:rPr>
        <w:t>SSCM</w:t>
      </w:r>
      <w:r w:rsidRPr="00C66658">
        <w:rPr>
          <w:sz w:val="24"/>
        </w:rPr>
        <w:tab/>
        <w:t>Student Success and Completion Model</w:t>
      </w:r>
      <w:r w:rsidR="00B57A91" w:rsidRPr="00C66658">
        <w:rPr>
          <w:sz w:val="24"/>
        </w:rPr>
        <w:t xml:space="preserve">.  </w:t>
      </w:r>
      <w:r w:rsidR="00AC383E" w:rsidRPr="00C66658">
        <w:rPr>
          <w:sz w:val="24"/>
        </w:rPr>
        <w:t>The funding</w:t>
      </w:r>
      <w:r w:rsidR="00B57A91" w:rsidRPr="00C66658">
        <w:rPr>
          <w:sz w:val="24"/>
        </w:rPr>
        <w:t xml:space="preserve"> model that the HECC uses to allocate state operating fund</w:t>
      </w:r>
      <w:r w:rsidR="00AC383E" w:rsidRPr="00C66658">
        <w:rPr>
          <w:sz w:val="24"/>
        </w:rPr>
        <w:t>s</w:t>
      </w:r>
      <w:r w:rsidR="00B57A91" w:rsidRPr="00C66658">
        <w:rPr>
          <w:sz w:val="24"/>
        </w:rPr>
        <w:t xml:space="preserve"> to the public universities.</w:t>
      </w:r>
    </w:p>
    <w:p w14:paraId="7B298726" w14:textId="77777777" w:rsidR="00696F5D" w:rsidRPr="00C66658" w:rsidRDefault="00696F5D" w:rsidP="00BA3E53">
      <w:pPr>
        <w:spacing w:after="0" w:line="320" w:lineRule="atLeast"/>
        <w:rPr>
          <w:sz w:val="24"/>
        </w:rPr>
      </w:pPr>
    </w:p>
    <w:p w14:paraId="69822700" w14:textId="77777777" w:rsidR="00D14103" w:rsidRPr="00C66658" w:rsidRDefault="00D14103" w:rsidP="00BA3E53">
      <w:pPr>
        <w:spacing w:after="0" w:line="320" w:lineRule="atLeast"/>
        <w:rPr>
          <w:sz w:val="24"/>
        </w:rPr>
      </w:pPr>
      <w:r w:rsidRPr="00C66658">
        <w:rPr>
          <w:sz w:val="24"/>
        </w:rPr>
        <w:t xml:space="preserve">TFAB </w:t>
      </w:r>
      <w:r w:rsidRPr="00C66658">
        <w:rPr>
          <w:sz w:val="24"/>
        </w:rPr>
        <w:tab/>
      </w:r>
      <w:r w:rsidRPr="00C66658">
        <w:rPr>
          <w:sz w:val="24"/>
        </w:rPr>
        <w:tab/>
      </w:r>
      <w:r w:rsidRPr="00C66658">
        <w:rPr>
          <w:sz w:val="24"/>
        </w:rPr>
        <w:tab/>
        <w:t>Tuition and Fee Advisory Board</w:t>
      </w:r>
    </w:p>
    <w:p w14:paraId="7E7AEEDA" w14:textId="0063889F" w:rsidR="004F6651" w:rsidRDefault="00D14103" w:rsidP="00B810B3">
      <w:pPr>
        <w:spacing w:after="0" w:line="320" w:lineRule="atLeast"/>
        <w:ind w:left="2160"/>
        <w:rPr>
          <w:sz w:val="24"/>
        </w:rPr>
      </w:pPr>
      <w:r w:rsidRPr="00C66658">
        <w:rPr>
          <w:sz w:val="24"/>
        </w:rPr>
        <w:t>The Tuition and Fee Advisory Board (TFAB) is the university’s official advisory group charged with reviewing and recommending tuition and fee proposals each year, prior to their submission to the President and Board of Trustees. TFAB is advisory to the President and its members are drawn broadly</w:t>
      </w:r>
      <w:r w:rsidRPr="00987543">
        <w:rPr>
          <w:sz w:val="24"/>
        </w:rPr>
        <w:t xml:space="preserve"> from the university community, includi</w:t>
      </w:r>
      <w:r w:rsidR="00B810B3">
        <w:rPr>
          <w:sz w:val="24"/>
        </w:rPr>
        <w:t>ng students, faculty, and staff.</w:t>
      </w:r>
    </w:p>
    <w:p w14:paraId="057CDD09" w14:textId="77777777" w:rsidR="00B810B3" w:rsidRDefault="00B810B3" w:rsidP="00B810B3">
      <w:pPr>
        <w:spacing w:after="0" w:line="320" w:lineRule="atLeast"/>
        <w:rPr>
          <w:sz w:val="24"/>
        </w:rPr>
      </w:pPr>
    </w:p>
    <w:p w14:paraId="413A02B7" w14:textId="1AB1BBB2" w:rsidR="00B810B3" w:rsidRDefault="00B810B3" w:rsidP="00B810B3">
      <w:pPr>
        <w:spacing w:after="0" w:line="320" w:lineRule="atLeast"/>
        <w:ind w:left="2160"/>
        <w:rPr>
          <w:sz w:val="24"/>
        </w:rPr>
      </w:pPr>
    </w:p>
    <w:p w14:paraId="5DBA9278" w14:textId="340C78A6" w:rsidR="00B810B3" w:rsidRDefault="00B810B3" w:rsidP="00B810B3">
      <w:pPr>
        <w:spacing w:after="0" w:line="320" w:lineRule="atLeast"/>
        <w:rPr>
          <w:sz w:val="24"/>
        </w:rPr>
        <w:sectPr w:rsidR="00B810B3" w:rsidSect="00724BC9">
          <w:footerReference w:type="default" r:id="rId11"/>
          <w:pgSz w:w="12240" w:h="15840"/>
          <w:pgMar w:top="1080" w:right="720" w:bottom="1080" w:left="990" w:header="720" w:footer="274" w:gutter="0"/>
          <w:cols w:space="720"/>
          <w:docGrid w:linePitch="360"/>
        </w:sectPr>
      </w:pPr>
    </w:p>
    <w:p w14:paraId="0CAA0B35" w14:textId="79060346" w:rsidR="004F6651" w:rsidRPr="009C6FBC" w:rsidRDefault="00CF3401" w:rsidP="004F6651">
      <w:pPr>
        <w:jc w:val="center"/>
        <w:rPr>
          <w:b/>
          <w:sz w:val="28"/>
        </w:rPr>
      </w:pPr>
      <w:r>
        <w:rPr>
          <w:b/>
          <w:sz w:val="28"/>
        </w:rPr>
        <w:lastRenderedPageBreak/>
        <w:t>UO T</w:t>
      </w:r>
      <w:r w:rsidR="004F6651" w:rsidRPr="009C6FBC">
        <w:rPr>
          <w:b/>
          <w:sz w:val="28"/>
        </w:rPr>
        <w:t>uition-</w:t>
      </w:r>
      <w:r>
        <w:rPr>
          <w:b/>
          <w:sz w:val="28"/>
        </w:rPr>
        <w:t>S</w:t>
      </w:r>
      <w:r w:rsidR="004F6651" w:rsidRPr="009C6FBC">
        <w:rPr>
          <w:b/>
          <w:sz w:val="28"/>
        </w:rPr>
        <w:t xml:space="preserve">etting </w:t>
      </w:r>
      <w:r>
        <w:rPr>
          <w:b/>
          <w:sz w:val="28"/>
        </w:rPr>
        <w:t>P</w:t>
      </w:r>
      <w:r w:rsidR="004F6651" w:rsidRPr="009C6FBC">
        <w:rPr>
          <w:b/>
          <w:sz w:val="28"/>
        </w:rPr>
        <w:t>rocess</w:t>
      </w:r>
      <w:r w:rsidR="004F6651">
        <w:rPr>
          <w:b/>
          <w:sz w:val="28"/>
        </w:rPr>
        <w:t xml:space="preserve"> 20</w:t>
      </w:r>
      <w:r w:rsidR="00F90AA0">
        <w:rPr>
          <w:b/>
          <w:sz w:val="28"/>
        </w:rPr>
        <w:t>21</w:t>
      </w:r>
      <w:r w:rsidR="004F6651">
        <w:rPr>
          <w:b/>
          <w:sz w:val="28"/>
        </w:rPr>
        <w:t>-</w:t>
      </w:r>
      <w:r w:rsidR="00F90AA0">
        <w:rPr>
          <w:b/>
          <w:sz w:val="28"/>
        </w:rPr>
        <w:t>22</w:t>
      </w:r>
    </w:p>
    <w:p w14:paraId="727CADEB" w14:textId="77777777" w:rsidR="004F6651" w:rsidRPr="00472266" w:rsidRDefault="004F6651" w:rsidP="004F6651">
      <w:pPr>
        <w:rPr>
          <w:sz w:val="24"/>
        </w:rPr>
      </w:pPr>
      <w:r w:rsidRPr="00472266">
        <w:rPr>
          <w:sz w:val="24"/>
        </w:rPr>
        <w:t xml:space="preserve">Meeting dates vary each year depending on TFAB member schedules; see </w:t>
      </w:r>
      <w:hyperlink r:id="rId12" w:history="1">
        <w:r w:rsidRPr="00472266">
          <w:rPr>
            <w:rStyle w:val="Hyperlink"/>
            <w:sz w:val="24"/>
          </w:rPr>
          <w:t>https://tuition.uoregon.edu/tfab-schedule</w:t>
        </w:r>
      </w:hyperlink>
      <w:r w:rsidRPr="00472266">
        <w:rPr>
          <w:sz w:val="24"/>
        </w:rPr>
        <w:t>. All TFAB meetings are open to the public and non-advisory group members are welcome.</w:t>
      </w:r>
    </w:p>
    <w:p w14:paraId="3428FD05" w14:textId="4B083C93" w:rsidR="004F6651" w:rsidRPr="00472266" w:rsidRDefault="004F6651" w:rsidP="004F6651">
      <w:pPr>
        <w:spacing w:after="0"/>
        <w:rPr>
          <w:sz w:val="24"/>
        </w:rPr>
      </w:pPr>
      <w:r w:rsidRPr="00472266">
        <w:rPr>
          <w:i/>
          <w:sz w:val="24"/>
        </w:rPr>
        <w:t>Note</w:t>
      </w:r>
      <w:r w:rsidRPr="00472266">
        <w:rPr>
          <w:sz w:val="24"/>
        </w:rPr>
        <w:t>: In March 2020, the UO Board of Trustees</w:t>
      </w:r>
      <w:r w:rsidR="001B11E6">
        <w:rPr>
          <w:sz w:val="24"/>
        </w:rPr>
        <w:t xml:space="preserve"> approved the Oregon Guarantee t</w:t>
      </w:r>
      <w:r w:rsidRPr="00472266">
        <w:rPr>
          <w:sz w:val="24"/>
        </w:rPr>
        <w:t xml:space="preserve">uition program. Learn more about the program: </w:t>
      </w:r>
      <w:hyperlink r:id="rId13" w:history="1">
        <w:r w:rsidRPr="00472266">
          <w:rPr>
            <w:rStyle w:val="Hyperlink"/>
            <w:sz w:val="24"/>
          </w:rPr>
          <w:t>https://financialaid.uoregon.edu/oregon-guarantee</w:t>
        </w:r>
      </w:hyperlink>
    </w:p>
    <w:p w14:paraId="237F6AFB" w14:textId="77777777" w:rsidR="004F6651" w:rsidRPr="00472266" w:rsidRDefault="004F6651" w:rsidP="004F6651">
      <w:pPr>
        <w:spacing w:after="0"/>
        <w:rPr>
          <w:sz w:val="12"/>
        </w:rPr>
      </w:pPr>
    </w:p>
    <w:p w14:paraId="15D063F4" w14:textId="7FFCF05B" w:rsidR="00D14103" w:rsidRPr="00156C84" w:rsidRDefault="004F6651" w:rsidP="004F6651">
      <w:r>
        <w:rPr>
          <w:noProof/>
        </w:rPr>
        <w:drawing>
          <wp:inline distT="0" distB="0" distL="0" distR="0" wp14:anchorId="7CD57554" wp14:editId="66980698">
            <wp:extent cx="6905625" cy="7981950"/>
            <wp:effectExtent l="38100" t="0" r="66675" b="1905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sectPr w:rsidR="00D14103" w:rsidRPr="00156C84" w:rsidSect="004F6651">
      <w:pgSz w:w="12240" w:h="15840"/>
      <w:pgMar w:top="360" w:right="720" w:bottom="270" w:left="720" w:header="720" w:footer="184"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B87DB" w16cex:dateUtc="2021-11-14T2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450FA1" w16cid:durableId="253B87D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FAD5C7" w14:textId="77777777" w:rsidR="007E6422" w:rsidRDefault="007E6422" w:rsidP="00C7096A">
      <w:pPr>
        <w:spacing w:after="0" w:line="240" w:lineRule="auto"/>
      </w:pPr>
      <w:r>
        <w:separator/>
      </w:r>
    </w:p>
  </w:endnote>
  <w:endnote w:type="continuationSeparator" w:id="0">
    <w:p w14:paraId="2307D1A4" w14:textId="77777777" w:rsidR="007E6422" w:rsidRDefault="007E6422" w:rsidP="00C70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902241"/>
      <w:docPartObj>
        <w:docPartGallery w:val="Page Numbers (Bottom of Page)"/>
        <w:docPartUnique/>
      </w:docPartObj>
    </w:sdtPr>
    <w:sdtEndPr>
      <w:rPr>
        <w:noProof/>
      </w:rPr>
    </w:sdtEndPr>
    <w:sdtContent>
      <w:p w14:paraId="6EF2FC0F" w14:textId="77C4E481" w:rsidR="00C7096A" w:rsidRDefault="00C7096A">
        <w:pPr>
          <w:pStyle w:val="Footer"/>
          <w:jc w:val="right"/>
        </w:pPr>
        <w:r>
          <w:fldChar w:fldCharType="begin"/>
        </w:r>
        <w:r>
          <w:instrText xml:space="preserve"> PAGE   \* MERGEFORMAT </w:instrText>
        </w:r>
        <w:r>
          <w:fldChar w:fldCharType="separate"/>
        </w:r>
        <w:r w:rsidR="00305A02">
          <w:rPr>
            <w:noProof/>
          </w:rPr>
          <w:t>3</w:t>
        </w:r>
        <w:r>
          <w:rPr>
            <w:noProof/>
          </w:rPr>
          <w:fldChar w:fldCharType="end"/>
        </w:r>
      </w:p>
    </w:sdtContent>
  </w:sdt>
  <w:p w14:paraId="7ABCBA9A" w14:textId="77777777" w:rsidR="00C7096A" w:rsidRDefault="00C709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21647A" w14:textId="77777777" w:rsidR="007E6422" w:rsidRDefault="007E6422" w:rsidP="00C7096A">
      <w:pPr>
        <w:spacing w:after="0" w:line="240" w:lineRule="auto"/>
      </w:pPr>
      <w:r>
        <w:separator/>
      </w:r>
    </w:p>
  </w:footnote>
  <w:footnote w:type="continuationSeparator" w:id="0">
    <w:p w14:paraId="78C4BCB6" w14:textId="77777777" w:rsidR="007E6422" w:rsidRDefault="007E6422" w:rsidP="00C709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01811"/>
    <w:multiLevelType w:val="hybridMultilevel"/>
    <w:tmpl w:val="F4FAD900"/>
    <w:lvl w:ilvl="0" w:tplc="5464F5F2">
      <w:start w:val="1"/>
      <w:numFmt w:val="bullet"/>
      <w:lvlText w:val="•"/>
      <w:lvlJc w:val="left"/>
      <w:pPr>
        <w:tabs>
          <w:tab w:val="num" w:pos="720"/>
        </w:tabs>
        <w:ind w:left="720" w:hanging="360"/>
      </w:pPr>
      <w:rPr>
        <w:rFonts w:ascii="Times New Roman" w:hAnsi="Times New Roman" w:hint="default"/>
      </w:rPr>
    </w:lvl>
    <w:lvl w:ilvl="1" w:tplc="E4482CB4">
      <w:start w:val="123"/>
      <w:numFmt w:val="bullet"/>
      <w:lvlText w:val="–"/>
      <w:lvlJc w:val="left"/>
      <w:pPr>
        <w:tabs>
          <w:tab w:val="num" w:pos="1440"/>
        </w:tabs>
        <w:ind w:left="1440" w:hanging="360"/>
      </w:pPr>
      <w:rPr>
        <w:rFonts w:ascii="Times New Roman" w:hAnsi="Times New Roman" w:hint="default"/>
      </w:rPr>
    </w:lvl>
    <w:lvl w:ilvl="2" w:tplc="4D0AF120" w:tentative="1">
      <w:start w:val="1"/>
      <w:numFmt w:val="bullet"/>
      <w:lvlText w:val="•"/>
      <w:lvlJc w:val="left"/>
      <w:pPr>
        <w:tabs>
          <w:tab w:val="num" w:pos="2160"/>
        </w:tabs>
        <w:ind w:left="2160" w:hanging="360"/>
      </w:pPr>
      <w:rPr>
        <w:rFonts w:ascii="Times New Roman" w:hAnsi="Times New Roman" w:hint="default"/>
      </w:rPr>
    </w:lvl>
    <w:lvl w:ilvl="3" w:tplc="EA6E0D92" w:tentative="1">
      <w:start w:val="1"/>
      <w:numFmt w:val="bullet"/>
      <w:lvlText w:val="•"/>
      <w:lvlJc w:val="left"/>
      <w:pPr>
        <w:tabs>
          <w:tab w:val="num" w:pos="2880"/>
        </w:tabs>
        <w:ind w:left="2880" w:hanging="360"/>
      </w:pPr>
      <w:rPr>
        <w:rFonts w:ascii="Times New Roman" w:hAnsi="Times New Roman" w:hint="default"/>
      </w:rPr>
    </w:lvl>
    <w:lvl w:ilvl="4" w:tplc="D914785A" w:tentative="1">
      <w:start w:val="1"/>
      <w:numFmt w:val="bullet"/>
      <w:lvlText w:val="•"/>
      <w:lvlJc w:val="left"/>
      <w:pPr>
        <w:tabs>
          <w:tab w:val="num" w:pos="3600"/>
        </w:tabs>
        <w:ind w:left="3600" w:hanging="360"/>
      </w:pPr>
      <w:rPr>
        <w:rFonts w:ascii="Times New Roman" w:hAnsi="Times New Roman" w:hint="default"/>
      </w:rPr>
    </w:lvl>
    <w:lvl w:ilvl="5" w:tplc="8C008206" w:tentative="1">
      <w:start w:val="1"/>
      <w:numFmt w:val="bullet"/>
      <w:lvlText w:val="•"/>
      <w:lvlJc w:val="left"/>
      <w:pPr>
        <w:tabs>
          <w:tab w:val="num" w:pos="4320"/>
        </w:tabs>
        <w:ind w:left="4320" w:hanging="360"/>
      </w:pPr>
      <w:rPr>
        <w:rFonts w:ascii="Times New Roman" w:hAnsi="Times New Roman" w:hint="default"/>
      </w:rPr>
    </w:lvl>
    <w:lvl w:ilvl="6" w:tplc="9E4080D4" w:tentative="1">
      <w:start w:val="1"/>
      <w:numFmt w:val="bullet"/>
      <w:lvlText w:val="•"/>
      <w:lvlJc w:val="left"/>
      <w:pPr>
        <w:tabs>
          <w:tab w:val="num" w:pos="5040"/>
        </w:tabs>
        <w:ind w:left="5040" w:hanging="360"/>
      </w:pPr>
      <w:rPr>
        <w:rFonts w:ascii="Times New Roman" w:hAnsi="Times New Roman" w:hint="default"/>
      </w:rPr>
    </w:lvl>
    <w:lvl w:ilvl="7" w:tplc="B4BC12D2" w:tentative="1">
      <w:start w:val="1"/>
      <w:numFmt w:val="bullet"/>
      <w:lvlText w:val="•"/>
      <w:lvlJc w:val="left"/>
      <w:pPr>
        <w:tabs>
          <w:tab w:val="num" w:pos="5760"/>
        </w:tabs>
        <w:ind w:left="5760" w:hanging="360"/>
      </w:pPr>
      <w:rPr>
        <w:rFonts w:ascii="Times New Roman" w:hAnsi="Times New Roman" w:hint="default"/>
      </w:rPr>
    </w:lvl>
    <w:lvl w:ilvl="8" w:tplc="461042F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DBC5B45"/>
    <w:multiLevelType w:val="hybridMultilevel"/>
    <w:tmpl w:val="7366AB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DAE04F6"/>
    <w:multiLevelType w:val="hybridMultilevel"/>
    <w:tmpl w:val="14D8E958"/>
    <w:lvl w:ilvl="0" w:tplc="73D2A8BE">
      <w:start w:val="1"/>
      <w:numFmt w:val="bullet"/>
      <w:lvlText w:val="•"/>
      <w:lvlJc w:val="left"/>
      <w:pPr>
        <w:tabs>
          <w:tab w:val="num" w:pos="720"/>
        </w:tabs>
        <w:ind w:left="720" w:hanging="360"/>
      </w:pPr>
      <w:rPr>
        <w:rFonts w:ascii="Times New Roman" w:hAnsi="Times New Roman" w:hint="default"/>
      </w:rPr>
    </w:lvl>
    <w:lvl w:ilvl="1" w:tplc="2F02CB6E" w:tentative="1">
      <w:start w:val="1"/>
      <w:numFmt w:val="bullet"/>
      <w:lvlText w:val="•"/>
      <w:lvlJc w:val="left"/>
      <w:pPr>
        <w:tabs>
          <w:tab w:val="num" w:pos="1440"/>
        </w:tabs>
        <w:ind w:left="1440" w:hanging="360"/>
      </w:pPr>
      <w:rPr>
        <w:rFonts w:ascii="Times New Roman" w:hAnsi="Times New Roman" w:hint="default"/>
      </w:rPr>
    </w:lvl>
    <w:lvl w:ilvl="2" w:tplc="DB38A9A0" w:tentative="1">
      <w:start w:val="1"/>
      <w:numFmt w:val="bullet"/>
      <w:lvlText w:val="•"/>
      <w:lvlJc w:val="left"/>
      <w:pPr>
        <w:tabs>
          <w:tab w:val="num" w:pos="2160"/>
        </w:tabs>
        <w:ind w:left="2160" w:hanging="360"/>
      </w:pPr>
      <w:rPr>
        <w:rFonts w:ascii="Times New Roman" w:hAnsi="Times New Roman" w:hint="default"/>
      </w:rPr>
    </w:lvl>
    <w:lvl w:ilvl="3" w:tplc="E43C88D2" w:tentative="1">
      <w:start w:val="1"/>
      <w:numFmt w:val="bullet"/>
      <w:lvlText w:val="•"/>
      <w:lvlJc w:val="left"/>
      <w:pPr>
        <w:tabs>
          <w:tab w:val="num" w:pos="2880"/>
        </w:tabs>
        <w:ind w:left="2880" w:hanging="360"/>
      </w:pPr>
      <w:rPr>
        <w:rFonts w:ascii="Times New Roman" w:hAnsi="Times New Roman" w:hint="default"/>
      </w:rPr>
    </w:lvl>
    <w:lvl w:ilvl="4" w:tplc="87509078" w:tentative="1">
      <w:start w:val="1"/>
      <w:numFmt w:val="bullet"/>
      <w:lvlText w:val="•"/>
      <w:lvlJc w:val="left"/>
      <w:pPr>
        <w:tabs>
          <w:tab w:val="num" w:pos="3600"/>
        </w:tabs>
        <w:ind w:left="3600" w:hanging="360"/>
      </w:pPr>
      <w:rPr>
        <w:rFonts w:ascii="Times New Roman" w:hAnsi="Times New Roman" w:hint="default"/>
      </w:rPr>
    </w:lvl>
    <w:lvl w:ilvl="5" w:tplc="B950BE8A" w:tentative="1">
      <w:start w:val="1"/>
      <w:numFmt w:val="bullet"/>
      <w:lvlText w:val="•"/>
      <w:lvlJc w:val="left"/>
      <w:pPr>
        <w:tabs>
          <w:tab w:val="num" w:pos="4320"/>
        </w:tabs>
        <w:ind w:left="4320" w:hanging="360"/>
      </w:pPr>
      <w:rPr>
        <w:rFonts w:ascii="Times New Roman" w:hAnsi="Times New Roman" w:hint="default"/>
      </w:rPr>
    </w:lvl>
    <w:lvl w:ilvl="6" w:tplc="61D6E05E" w:tentative="1">
      <w:start w:val="1"/>
      <w:numFmt w:val="bullet"/>
      <w:lvlText w:val="•"/>
      <w:lvlJc w:val="left"/>
      <w:pPr>
        <w:tabs>
          <w:tab w:val="num" w:pos="5040"/>
        </w:tabs>
        <w:ind w:left="5040" w:hanging="360"/>
      </w:pPr>
      <w:rPr>
        <w:rFonts w:ascii="Times New Roman" w:hAnsi="Times New Roman" w:hint="default"/>
      </w:rPr>
    </w:lvl>
    <w:lvl w:ilvl="7" w:tplc="0F56D70A" w:tentative="1">
      <w:start w:val="1"/>
      <w:numFmt w:val="bullet"/>
      <w:lvlText w:val="•"/>
      <w:lvlJc w:val="left"/>
      <w:pPr>
        <w:tabs>
          <w:tab w:val="num" w:pos="5760"/>
        </w:tabs>
        <w:ind w:left="5760" w:hanging="360"/>
      </w:pPr>
      <w:rPr>
        <w:rFonts w:ascii="Times New Roman" w:hAnsi="Times New Roman" w:hint="default"/>
      </w:rPr>
    </w:lvl>
    <w:lvl w:ilvl="8" w:tplc="1492627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4D2428E3"/>
    <w:multiLevelType w:val="hybridMultilevel"/>
    <w:tmpl w:val="921E2F00"/>
    <w:lvl w:ilvl="0" w:tplc="6D469D7C">
      <w:start w:val="1"/>
      <w:numFmt w:val="bullet"/>
      <w:lvlText w:val="•"/>
      <w:lvlJc w:val="left"/>
      <w:pPr>
        <w:tabs>
          <w:tab w:val="num" w:pos="360"/>
        </w:tabs>
        <w:ind w:left="360" w:hanging="360"/>
      </w:pPr>
      <w:rPr>
        <w:rFonts w:ascii="Times New Roman" w:hAnsi="Times New Roman" w:hint="default"/>
      </w:rPr>
    </w:lvl>
    <w:lvl w:ilvl="1" w:tplc="089475AC">
      <w:start w:val="123"/>
      <w:numFmt w:val="bullet"/>
      <w:lvlText w:val="–"/>
      <w:lvlJc w:val="left"/>
      <w:pPr>
        <w:tabs>
          <w:tab w:val="num" w:pos="1080"/>
        </w:tabs>
        <w:ind w:left="1080" w:hanging="360"/>
      </w:pPr>
      <w:rPr>
        <w:rFonts w:ascii="Times New Roman" w:hAnsi="Times New Roman" w:hint="default"/>
      </w:rPr>
    </w:lvl>
    <w:lvl w:ilvl="2" w:tplc="A54E4DD6" w:tentative="1">
      <w:start w:val="1"/>
      <w:numFmt w:val="bullet"/>
      <w:lvlText w:val="•"/>
      <w:lvlJc w:val="left"/>
      <w:pPr>
        <w:tabs>
          <w:tab w:val="num" w:pos="1800"/>
        </w:tabs>
        <w:ind w:left="1800" w:hanging="360"/>
      </w:pPr>
      <w:rPr>
        <w:rFonts w:ascii="Times New Roman" w:hAnsi="Times New Roman" w:hint="default"/>
      </w:rPr>
    </w:lvl>
    <w:lvl w:ilvl="3" w:tplc="798C861A" w:tentative="1">
      <w:start w:val="1"/>
      <w:numFmt w:val="bullet"/>
      <w:lvlText w:val="•"/>
      <w:lvlJc w:val="left"/>
      <w:pPr>
        <w:tabs>
          <w:tab w:val="num" w:pos="2520"/>
        </w:tabs>
        <w:ind w:left="2520" w:hanging="360"/>
      </w:pPr>
      <w:rPr>
        <w:rFonts w:ascii="Times New Roman" w:hAnsi="Times New Roman" w:hint="default"/>
      </w:rPr>
    </w:lvl>
    <w:lvl w:ilvl="4" w:tplc="FD6825E0" w:tentative="1">
      <w:start w:val="1"/>
      <w:numFmt w:val="bullet"/>
      <w:lvlText w:val="•"/>
      <w:lvlJc w:val="left"/>
      <w:pPr>
        <w:tabs>
          <w:tab w:val="num" w:pos="3240"/>
        </w:tabs>
        <w:ind w:left="3240" w:hanging="360"/>
      </w:pPr>
      <w:rPr>
        <w:rFonts w:ascii="Times New Roman" w:hAnsi="Times New Roman" w:hint="default"/>
      </w:rPr>
    </w:lvl>
    <w:lvl w:ilvl="5" w:tplc="451003F2" w:tentative="1">
      <w:start w:val="1"/>
      <w:numFmt w:val="bullet"/>
      <w:lvlText w:val="•"/>
      <w:lvlJc w:val="left"/>
      <w:pPr>
        <w:tabs>
          <w:tab w:val="num" w:pos="3960"/>
        </w:tabs>
        <w:ind w:left="3960" w:hanging="360"/>
      </w:pPr>
      <w:rPr>
        <w:rFonts w:ascii="Times New Roman" w:hAnsi="Times New Roman" w:hint="default"/>
      </w:rPr>
    </w:lvl>
    <w:lvl w:ilvl="6" w:tplc="96E206A8" w:tentative="1">
      <w:start w:val="1"/>
      <w:numFmt w:val="bullet"/>
      <w:lvlText w:val="•"/>
      <w:lvlJc w:val="left"/>
      <w:pPr>
        <w:tabs>
          <w:tab w:val="num" w:pos="4680"/>
        </w:tabs>
        <w:ind w:left="4680" w:hanging="360"/>
      </w:pPr>
      <w:rPr>
        <w:rFonts w:ascii="Times New Roman" w:hAnsi="Times New Roman" w:hint="default"/>
      </w:rPr>
    </w:lvl>
    <w:lvl w:ilvl="7" w:tplc="B912902E" w:tentative="1">
      <w:start w:val="1"/>
      <w:numFmt w:val="bullet"/>
      <w:lvlText w:val="•"/>
      <w:lvlJc w:val="left"/>
      <w:pPr>
        <w:tabs>
          <w:tab w:val="num" w:pos="5400"/>
        </w:tabs>
        <w:ind w:left="5400" w:hanging="360"/>
      </w:pPr>
      <w:rPr>
        <w:rFonts w:ascii="Times New Roman" w:hAnsi="Times New Roman" w:hint="default"/>
      </w:rPr>
    </w:lvl>
    <w:lvl w:ilvl="8" w:tplc="ADCAD16C" w:tentative="1">
      <w:start w:val="1"/>
      <w:numFmt w:val="bullet"/>
      <w:lvlText w:val="•"/>
      <w:lvlJc w:val="left"/>
      <w:pPr>
        <w:tabs>
          <w:tab w:val="num" w:pos="6120"/>
        </w:tabs>
        <w:ind w:left="6120" w:hanging="360"/>
      </w:pPr>
      <w:rPr>
        <w:rFonts w:ascii="Times New Roman" w:hAnsi="Times New Roman" w:hint="default"/>
      </w:rPr>
    </w:lvl>
  </w:abstractNum>
  <w:abstractNum w:abstractNumId="4" w15:restartNumberingAfterBreak="0">
    <w:nsid w:val="67627384"/>
    <w:multiLevelType w:val="hybridMultilevel"/>
    <w:tmpl w:val="EAEA9808"/>
    <w:lvl w:ilvl="0" w:tplc="B134A9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F70654"/>
    <w:multiLevelType w:val="hybridMultilevel"/>
    <w:tmpl w:val="D3B2F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554D3A"/>
    <w:multiLevelType w:val="hybridMultilevel"/>
    <w:tmpl w:val="A0625E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1"/>
  </w:num>
  <w:num w:numId="6">
    <w:abstractNumId w:val="4"/>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3F0"/>
    <w:rsid w:val="0000326E"/>
    <w:rsid w:val="000079EC"/>
    <w:rsid w:val="0001561B"/>
    <w:rsid w:val="00015BA8"/>
    <w:rsid w:val="00035702"/>
    <w:rsid w:val="00042E4D"/>
    <w:rsid w:val="0006123D"/>
    <w:rsid w:val="00072FE2"/>
    <w:rsid w:val="00086F0A"/>
    <w:rsid w:val="000A04D9"/>
    <w:rsid w:val="000A4C90"/>
    <w:rsid w:val="000A5327"/>
    <w:rsid w:val="000A5C05"/>
    <w:rsid w:val="000D474C"/>
    <w:rsid w:val="000D4BD3"/>
    <w:rsid w:val="000E642E"/>
    <w:rsid w:val="00100973"/>
    <w:rsid w:val="001101FD"/>
    <w:rsid w:val="00132307"/>
    <w:rsid w:val="00144AD2"/>
    <w:rsid w:val="001505CF"/>
    <w:rsid w:val="001567DB"/>
    <w:rsid w:val="00156C84"/>
    <w:rsid w:val="00180484"/>
    <w:rsid w:val="001817FF"/>
    <w:rsid w:val="001835B8"/>
    <w:rsid w:val="001B11E6"/>
    <w:rsid w:val="001D09CF"/>
    <w:rsid w:val="001D4DEF"/>
    <w:rsid w:val="001D4FB6"/>
    <w:rsid w:val="001D6B9F"/>
    <w:rsid w:val="001F0542"/>
    <w:rsid w:val="001F73EB"/>
    <w:rsid w:val="0021357D"/>
    <w:rsid w:val="002410C1"/>
    <w:rsid w:val="0024275C"/>
    <w:rsid w:val="00251FA4"/>
    <w:rsid w:val="0025776E"/>
    <w:rsid w:val="002655BD"/>
    <w:rsid w:val="0026788B"/>
    <w:rsid w:val="00274B6D"/>
    <w:rsid w:val="002841BA"/>
    <w:rsid w:val="002949C3"/>
    <w:rsid w:val="002C1870"/>
    <w:rsid w:val="002C3084"/>
    <w:rsid w:val="002E5461"/>
    <w:rsid w:val="002E7EC1"/>
    <w:rsid w:val="002F1D7A"/>
    <w:rsid w:val="00300BE7"/>
    <w:rsid w:val="00305A02"/>
    <w:rsid w:val="00306E9C"/>
    <w:rsid w:val="00307C25"/>
    <w:rsid w:val="003465BC"/>
    <w:rsid w:val="00356042"/>
    <w:rsid w:val="00366BCD"/>
    <w:rsid w:val="00372DFB"/>
    <w:rsid w:val="003822AF"/>
    <w:rsid w:val="003915D4"/>
    <w:rsid w:val="003A7DCB"/>
    <w:rsid w:val="003B5127"/>
    <w:rsid w:val="003C24C8"/>
    <w:rsid w:val="003D78AE"/>
    <w:rsid w:val="00404731"/>
    <w:rsid w:val="0041356D"/>
    <w:rsid w:val="00423A51"/>
    <w:rsid w:val="004401BE"/>
    <w:rsid w:val="00454269"/>
    <w:rsid w:val="00481955"/>
    <w:rsid w:val="004A0023"/>
    <w:rsid w:val="004A0C22"/>
    <w:rsid w:val="004C159D"/>
    <w:rsid w:val="004C3BFF"/>
    <w:rsid w:val="004F6651"/>
    <w:rsid w:val="00515546"/>
    <w:rsid w:val="00554B43"/>
    <w:rsid w:val="005609EC"/>
    <w:rsid w:val="005B3189"/>
    <w:rsid w:val="005C176F"/>
    <w:rsid w:val="005E392B"/>
    <w:rsid w:val="00601C6D"/>
    <w:rsid w:val="00603258"/>
    <w:rsid w:val="006034C0"/>
    <w:rsid w:val="00616228"/>
    <w:rsid w:val="00617E44"/>
    <w:rsid w:val="006222DA"/>
    <w:rsid w:val="00623E3E"/>
    <w:rsid w:val="00625A35"/>
    <w:rsid w:val="00640FA5"/>
    <w:rsid w:val="006432D2"/>
    <w:rsid w:val="0065169C"/>
    <w:rsid w:val="0065241D"/>
    <w:rsid w:val="006663BF"/>
    <w:rsid w:val="00696F5D"/>
    <w:rsid w:val="006C73F0"/>
    <w:rsid w:val="006C783E"/>
    <w:rsid w:val="006D6DCE"/>
    <w:rsid w:val="006E005C"/>
    <w:rsid w:val="006E3F7B"/>
    <w:rsid w:val="006E5BF3"/>
    <w:rsid w:val="00706E7E"/>
    <w:rsid w:val="00724BC9"/>
    <w:rsid w:val="007323F7"/>
    <w:rsid w:val="00745857"/>
    <w:rsid w:val="0076220B"/>
    <w:rsid w:val="0078472F"/>
    <w:rsid w:val="00791B5D"/>
    <w:rsid w:val="007C63D6"/>
    <w:rsid w:val="007D6288"/>
    <w:rsid w:val="007E6093"/>
    <w:rsid w:val="007E6422"/>
    <w:rsid w:val="007F6E82"/>
    <w:rsid w:val="00801DC3"/>
    <w:rsid w:val="008030BA"/>
    <w:rsid w:val="00807E1A"/>
    <w:rsid w:val="00815089"/>
    <w:rsid w:val="00834D5A"/>
    <w:rsid w:val="00853E61"/>
    <w:rsid w:val="00855240"/>
    <w:rsid w:val="00857E28"/>
    <w:rsid w:val="008702ED"/>
    <w:rsid w:val="0088470B"/>
    <w:rsid w:val="008A5FA8"/>
    <w:rsid w:val="008B20F0"/>
    <w:rsid w:val="008B4084"/>
    <w:rsid w:val="008B486D"/>
    <w:rsid w:val="008D65EB"/>
    <w:rsid w:val="008E10EC"/>
    <w:rsid w:val="008E228E"/>
    <w:rsid w:val="008F0B9F"/>
    <w:rsid w:val="00922CC4"/>
    <w:rsid w:val="009303D0"/>
    <w:rsid w:val="00931753"/>
    <w:rsid w:val="00932659"/>
    <w:rsid w:val="00940AB2"/>
    <w:rsid w:val="0094789D"/>
    <w:rsid w:val="00950F52"/>
    <w:rsid w:val="00981F78"/>
    <w:rsid w:val="00993572"/>
    <w:rsid w:val="009A6540"/>
    <w:rsid w:val="009B01AC"/>
    <w:rsid w:val="009B6DA0"/>
    <w:rsid w:val="009D1591"/>
    <w:rsid w:val="009E0BDD"/>
    <w:rsid w:val="009E78B7"/>
    <w:rsid w:val="009F2C13"/>
    <w:rsid w:val="00A04E3E"/>
    <w:rsid w:val="00A14705"/>
    <w:rsid w:val="00A2657B"/>
    <w:rsid w:val="00A31A8A"/>
    <w:rsid w:val="00A529EF"/>
    <w:rsid w:val="00A52A4E"/>
    <w:rsid w:val="00A737EC"/>
    <w:rsid w:val="00A91041"/>
    <w:rsid w:val="00AA000C"/>
    <w:rsid w:val="00AA767D"/>
    <w:rsid w:val="00AC285E"/>
    <w:rsid w:val="00AC383E"/>
    <w:rsid w:val="00AC4D61"/>
    <w:rsid w:val="00AE046F"/>
    <w:rsid w:val="00AE70A2"/>
    <w:rsid w:val="00B051E6"/>
    <w:rsid w:val="00B06F85"/>
    <w:rsid w:val="00B31AC4"/>
    <w:rsid w:val="00B31E18"/>
    <w:rsid w:val="00B51B11"/>
    <w:rsid w:val="00B52A78"/>
    <w:rsid w:val="00B57A91"/>
    <w:rsid w:val="00B7749A"/>
    <w:rsid w:val="00B810B3"/>
    <w:rsid w:val="00B94EB7"/>
    <w:rsid w:val="00BA3E53"/>
    <w:rsid w:val="00BA45F4"/>
    <w:rsid w:val="00BB25BB"/>
    <w:rsid w:val="00BD158F"/>
    <w:rsid w:val="00BD7234"/>
    <w:rsid w:val="00BD745E"/>
    <w:rsid w:val="00BF4DD1"/>
    <w:rsid w:val="00BF7174"/>
    <w:rsid w:val="00BF7B47"/>
    <w:rsid w:val="00C03206"/>
    <w:rsid w:val="00C3283F"/>
    <w:rsid w:val="00C335AF"/>
    <w:rsid w:val="00C40CB6"/>
    <w:rsid w:val="00C66658"/>
    <w:rsid w:val="00C7096A"/>
    <w:rsid w:val="00C720F6"/>
    <w:rsid w:val="00C7786C"/>
    <w:rsid w:val="00C85892"/>
    <w:rsid w:val="00C86118"/>
    <w:rsid w:val="00C87E88"/>
    <w:rsid w:val="00C905D3"/>
    <w:rsid w:val="00C972EE"/>
    <w:rsid w:val="00CD0516"/>
    <w:rsid w:val="00CD1121"/>
    <w:rsid w:val="00CE7417"/>
    <w:rsid w:val="00CF3126"/>
    <w:rsid w:val="00CF3401"/>
    <w:rsid w:val="00CF3D31"/>
    <w:rsid w:val="00CF4572"/>
    <w:rsid w:val="00CF5577"/>
    <w:rsid w:val="00D121AE"/>
    <w:rsid w:val="00D14103"/>
    <w:rsid w:val="00D22FCA"/>
    <w:rsid w:val="00D30319"/>
    <w:rsid w:val="00D43D65"/>
    <w:rsid w:val="00D451AB"/>
    <w:rsid w:val="00D560A9"/>
    <w:rsid w:val="00D63761"/>
    <w:rsid w:val="00D73D00"/>
    <w:rsid w:val="00DA2A53"/>
    <w:rsid w:val="00DB4888"/>
    <w:rsid w:val="00DC2746"/>
    <w:rsid w:val="00DE02C8"/>
    <w:rsid w:val="00DF1D3B"/>
    <w:rsid w:val="00DF2A95"/>
    <w:rsid w:val="00DF3761"/>
    <w:rsid w:val="00E04ADC"/>
    <w:rsid w:val="00E14E55"/>
    <w:rsid w:val="00E20174"/>
    <w:rsid w:val="00E24B8A"/>
    <w:rsid w:val="00E3432F"/>
    <w:rsid w:val="00E4234B"/>
    <w:rsid w:val="00E55990"/>
    <w:rsid w:val="00E60DC5"/>
    <w:rsid w:val="00E676CB"/>
    <w:rsid w:val="00E83224"/>
    <w:rsid w:val="00EB55B2"/>
    <w:rsid w:val="00EC2F8C"/>
    <w:rsid w:val="00EC5370"/>
    <w:rsid w:val="00EC56D6"/>
    <w:rsid w:val="00ED188F"/>
    <w:rsid w:val="00EF0B7C"/>
    <w:rsid w:val="00EF45B0"/>
    <w:rsid w:val="00F12D75"/>
    <w:rsid w:val="00F246C6"/>
    <w:rsid w:val="00F36FBD"/>
    <w:rsid w:val="00F43AA5"/>
    <w:rsid w:val="00F50DF0"/>
    <w:rsid w:val="00F60BAD"/>
    <w:rsid w:val="00F65B7A"/>
    <w:rsid w:val="00F90AA0"/>
    <w:rsid w:val="00F92882"/>
    <w:rsid w:val="00F92CF4"/>
    <w:rsid w:val="00F92DAE"/>
    <w:rsid w:val="00FA05FA"/>
    <w:rsid w:val="00FA3181"/>
    <w:rsid w:val="00FB11B4"/>
    <w:rsid w:val="00FC22F7"/>
    <w:rsid w:val="00FC74E0"/>
    <w:rsid w:val="00FD3F5D"/>
    <w:rsid w:val="00FE1290"/>
    <w:rsid w:val="00FE5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8F391"/>
  <w15:chartTrackingRefBased/>
  <w15:docId w15:val="{97D5BC59-FB5E-4013-B3DB-1A5444454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CC4"/>
    <w:pPr>
      <w:ind w:left="720"/>
      <w:contextualSpacing/>
    </w:pPr>
  </w:style>
  <w:style w:type="paragraph" w:styleId="BalloonText">
    <w:name w:val="Balloon Text"/>
    <w:basedOn w:val="Normal"/>
    <w:link w:val="BalloonTextChar"/>
    <w:uiPriority w:val="99"/>
    <w:semiHidden/>
    <w:unhideWhenUsed/>
    <w:rsid w:val="003560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042"/>
    <w:rPr>
      <w:rFonts w:ascii="Segoe UI" w:hAnsi="Segoe UI" w:cs="Segoe UI"/>
      <w:sz w:val="18"/>
      <w:szCs w:val="18"/>
    </w:rPr>
  </w:style>
  <w:style w:type="character" w:styleId="Hyperlink">
    <w:name w:val="Hyperlink"/>
    <w:basedOn w:val="DefaultParagraphFont"/>
    <w:uiPriority w:val="99"/>
    <w:unhideWhenUsed/>
    <w:rsid w:val="00F92882"/>
    <w:rPr>
      <w:color w:val="0563C1" w:themeColor="hyperlink"/>
      <w:u w:val="single"/>
    </w:rPr>
  </w:style>
  <w:style w:type="paragraph" w:styleId="Header">
    <w:name w:val="header"/>
    <w:basedOn w:val="Normal"/>
    <w:link w:val="HeaderChar"/>
    <w:uiPriority w:val="99"/>
    <w:unhideWhenUsed/>
    <w:rsid w:val="00C709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096A"/>
  </w:style>
  <w:style w:type="paragraph" w:styleId="Footer">
    <w:name w:val="footer"/>
    <w:basedOn w:val="Normal"/>
    <w:link w:val="FooterChar"/>
    <w:uiPriority w:val="99"/>
    <w:unhideWhenUsed/>
    <w:rsid w:val="00C709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096A"/>
  </w:style>
  <w:style w:type="character" w:styleId="CommentReference">
    <w:name w:val="annotation reference"/>
    <w:basedOn w:val="DefaultParagraphFont"/>
    <w:uiPriority w:val="99"/>
    <w:semiHidden/>
    <w:unhideWhenUsed/>
    <w:rsid w:val="00100973"/>
    <w:rPr>
      <w:sz w:val="18"/>
      <w:szCs w:val="18"/>
    </w:rPr>
  </w:style>
  <w:style w:type="paragraph" w:styleId="CommentText">
    <w:name w:val="annotation text"/>
    <w:basedOn w:val="Normal"/>
    <w:link w:val="CommentTextChar"/>
    <w:uiPriority w:val="99"/>
    <w:semiHidden/>
    <w:unhideWhenUsed/>
    <w:rsid w:val="00100973"/>
    <w:pPr>
      <w:spacing w:line="240" w:lineRule="auto"/>
    </w:pPr>
    <w:rPr>
      <w:sz w:val="24"/>
      <w:szCs w:val="24"/>
    </w:rPr>
  </w:style>
  <w:style w:type="character" w:customStyle="1" w:styleId="CommentTextChar">
    <w:name w:val="Comment Text Char"/>
    <w:basedOn w:val="DefaultParagraphFont"/>
    <w:link w:val="CommentText"/>
    <w:uiPriority w:val="99"/>
    <w:semiHidden/>
    <w:rsid w:val="00100973"/>
    <w:rPr>
      <w:sz w:val="24"/>
      <w:szCs w:val="24"/>
    </w:rPr>
  </w:style>
  <w:style w:type="paragraph" w:styleId="CommentSubject">
    <w:name w:val="annotation subject"/>
    <w:basedOn w:val="CommentText"/>
    <w:next w:val="CommentText"/>
    <w:link w:val="CommentSubjectChar"/>
    <w:uiPriority w:val="99"/>
    <w:semiHidden/>
    <w:unhideWhenUsed/>
    <w:rsid w:val="00100973"/>
    <w:rPr>
      <w:b/>
      <w:bCs/>
      <w:sz w:val="20"/>
      <w:szCs w:val="20"/>
    </w:rPr>
  </w:style>
  <w:style w:type="character" w:customStyle="1" w:styleId="CommentSubjectChar">
    <w:name w:val="Comment Subject Char"/>
    <w:basedOn w:val="CommentTextChar"/>
    <w:link w:val="CommentSubject"/>
    <w:uiPriority w:val="99"/>
    <w:semiHidden/>
    <w:rsid w:val="00100973"/>
    <w:rPr>
      <w:b/>
      <w:bCs/>
      <w:sz w:val="20"/>
      <w:szCs w:val="20"/>
    </w:rPr>
  </w:style>
  <w:style w:type="character" w:styleId="FollowedHyperlink">
    <w:name w:val="FollowedHyperlink"/>
    <w:basedOn w:val="DefaultParagraphFont"/>
    <w:uiPriority w:val="99"/>
    <w:semiHidden/>
    <w:unhideWhenUsed/>
    <w:rsid w:val="00601C6D"/>
    <w:rPr>
      <w:color w:val="954F72" w:themeColor="followedHyperlink"/>
      <w:u w:val="single"/>
    </w:rPr>
  </w:style>
  <w:style w:type="paragraph" w:styleId="Revision">
    <w:name w:val="Revision"/>
    <w:hidden/>
    <w:uiPriority w:val="99"/>
    <w:semiHidden/>
    <w:rsid w:val="00AC28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122036">
      <w:bodyDiv w:val="1"/>
      <w:marLeft w:val="0"/>
      <w:marRight w:val="0"/>
      <w:marTop w:val="0"/>
      <w:marBottom w:val="0"/>
      <w:divBdr>
        <w:top w:val="none" w:sz="0" w:space="0" w:color="auto"/>
        <w:left w:val="none" w:sz="0" w:space="0" w:color="auto"/>
        <w:bottom w:val="none" w:sz="0" w:space="0" w:color="auto"/>
        <w:right w:val="none" w:sz="0" w:space="0" w:color="auto"/>
      </w:divBdr>
      <w:divsChild>
        <w:div w:id="169570174">
          <w:marLeft w:val="547"/>
          <w:marRight w:val="0"/>
          <w:marTop w:val="48"/>
          <w:marBottom w:val="0"/>
          <w:divBdr>
            <w:top w:val="none" w:sz="0" w:space="0" w:color="auto"/>
            <w:left w:val="none" w:sz="0" w:space="0" w:color="auto"/>
            <w:bottom w:val="none" w:sz="0" w:space="0" w:color="auto"/>
            <w:right w:val="none" w:sz="0" w:space="0" w:color="auto"/>
          </w:divBdr>
        </w:div>
        <w:div w:id="1858231523">
          <w:marLeft w:val="1166"/>
          <w:marRight w:val="0"/>
          <w:marTop w:val="43"/>
          <w:marBottom w:val="0"/>
          <w:divBdr>
            <w:top w:val="none" w:sz="0" w:space="0" w:color="auto"/>
            <w:left w:val="none" w:sz="0" w:space="0" w:color="auto"/>
            <w:bottom w:val="none" w:sz="0" w:space="0" w:color="auto"/>
            <w:right w:val="none" w:sz="0" w:space="0" w:color="auto"/>
          </w:divBdr>
        </w:div>
        <w:div w:id="846754084">
          <w:marLeft w:val="1166"/>
          <w:marRight w:val="0"/>
          <w:marTop w:val="43"/>
          <w:marBottom w:val="0"/>
          <w:divBdr>
            <w:top w:val="none" w:sz="0" w:space="0" w:color="auto"/>
            <w:left w:val="none" w:sz="0" w:space="0" w:color="auto"/>
            <w:bottom w:val="none" w:sz="0" w:space="0" w:color="auto"/>
            <w:right w:val="none" w:sz="0" w:space="0" w:color="auto"/>
          </w:divBdr>
        </w:div>
        <w:div w:id="738671453">
          <w:marLeft w:val="1166"/>
          <w:marRight w:val="0"/>
          <w:marTop w:val="43"/>
          <w:marBottom w:val="0"/>
          <w:divBdr>
            <w:top w:val="none" w:sz="0" w:space="0" w:color="auto"/>
            <w:left w:val="none" w:sz="0" w:space="0" w:color="auto"/>
            <w:bottom w:val="none" w:sz="0" w:space="0" w:color="auto"/>
            <w:right w:val="none" w:sz="0" w:space="0" w:color="auto"/>
          </w:divBdr>
        </w:div>
        <w:div w:id="343678283">
          <w:marLeft w:val="547"/>
          <w:marRight w:val="0"/>
          <w:marTop w:val="48"/>
          <w:marBottom w:val="0"/>
          <w:divBdr>
            <w:top w:val="none" w:sz="0" w:space="0" w:color="auto"/>
            <w:left w:val="none" w:sz="0" w:space="0" w:color="auto"/>
            <w:bottom w:val="none" w:sz="0" w:space="0" w:color="auto"/>
            <w:right w:val="none" w:sz="0" w:space="0" w:color="auto"/>
          </w:divBdr>
        </w:div>
        <w:div w:id="677931272">
          <w:marLeft w:val="1166"/>
          <w:marRight w:val="0"/>
          <w:marTop w:val="43"/>
          <w:marBottom w:val="0"/>
          <w:divBdr>
            <w:top w:val="none" w:sz="0" w:space="0" w:color="auto"/>
            <w:left w:val="none" w:sz="0" w:space="0" w:color="auto"/>
            <w:bottom w:val="none" w:sz="0" w:space="0" w:color="auto"/>
            <w:right w:val="none" w:sz="0" w:space="0" w:color="auto"/>
          </w:divBdr>
        </w:div>
        <w:div w:id="1140419163">
          <w:marLeft w:val="1166"/>
          <w:marRight w:val="0"/>
          <w:marTop w:val="43"/>
          <w:marBottom w:val="0"/>
          <w:divBdr>
            <w:top w:val="none" w:sz="0" w:space="0" w:color="auto"/>
            <w:left w:val="none" w:sz="0" w:space="0" w:color="auto"/>
            <w:bottom w:val="none" w:sz="0" w:space="0" w:color="auto"/>
            <w:right w:val="none" w:sz="0" w:space="0" w:color="auto"/>
          </w:divBdr>
        </w:div>
        <w:div w:id="1493062907">
          <w:marLeft w:val="1166"/>
          <w:marRight w:val="0"/>
          <w:marTop w:val="43"/>
          <w:marBottom w:val="0"/>
          <w:divBdr>
            <w:top w:val="none" w:sz="0" w:space="0" w:color="auto"/>
            <w:left w:val="none" w:sz="0" w:space="0" w:color="auto"/>
            <w:bottom w:val="none" w:sz="0" w:space="0" w:color="auto"/>
            <w:right w:val="none" w:sz="0" w:space="0" w:color="auto"/>
          </w:divBdr>
        </w:div>
        <w:div w:id="839471917">
          <w:marLeft w:val="1166"/>
          <w:marRight w:val="0"/>
          <w:marTop w:val="43"/>
          <w:marBottom w:val="0"/>
          <w:divBdr>
            <w:top w:val="none" w:sz="0" w:space="0" w:color="auto"/>
            <w:left w:val="none" w:sz="0" w:space="0" w:color="auto"/>
            <w:bottom w:val="none" w:sz="0" w:space="0" w:color="auto"/>
            <w:right w:val="none" w:sz="0" w:space="0" w:color="auto"/>
          </w:divBdr>
        </w:div>
      </w:divsChild>
    </w:div>
    <w:div w:id="562376615">
      <w:bodyDiv w:val="1"/>
      <w:marLeft w:val="0"/>
      <w:marRight w:val="0"/>
      <w:marTop w:val="0"/>
      <w:marBottom w:val="0"/>
      <w:divBdr>
        <w:top w:val="none" w:sz="0" w:space="0" w:color="auto"/>
        <w:left w:val="none" w:sz="0" w:space="0" w:color="auto"/>
        <w:bottom w:val="none" w:sz="0" w:space="0" w:color="auto"/>
        <w:right w:val="none" w:sz="0" w:space="0" w:color="auto"/>
      </w:divBdr>
      <w:divsChild>
        <w:div w:id="1267932133">
          <w:marLeft w:val="547"/>
          <w:marRight w:val="0"/>
          <w:marTop w:val="48"/>
          <w:marBottom w:val="0"/>
          <w:divBdr>
            <w:top w:val="none" w:sz="0" w:space="0" w:color="auto"/>
            <w:left w:val="none" w:sz="0" w:space="0" w:color="auto"/>
            <w:bottom w:val="none" w:sz="0" w:space="0" w:color="auto"/>
            <w:right w:val="none" w:sz="0" w:space="0" w:color="auto"/>
          </w:divBdr>
        </w:div>
        <w:div w:id="551112378">
          <w:marLeft w:val="1166"/>
          <w:marRight w:val="0"/>
          <w:marTop w:val="43"/>
          <w:marBottom w:val="0"/>
          <w:divBdr>
            <w:top w:val="none" w:sz="0" w:space="0" w:color="auto"/>
            <w:left w:val="none" w:sz="0" w:space="0" w:color="auto"/>
            <w:bottom w:val="none" w:sz="0" w:space="0" w:color="auto"/>
            <w:right w:val="none" w:sz="0" w:space="0" w:color="auto"/>
          </w:divBdr>
        </w:div>
        <w:div w:id="633872821">
          <w:marLeft w:val="547"/>
          <w:marRight w:val="0"/>
          <w:marTop w:val="48"/>
          <w:marBottom w:val="0"/>
          <w:divBdr>
            <w:top w:val="none" w:sz="0" w:space="0" w:color="auto"/>
            <w:left w:val="none" w:sz="0" w:space="0" w:color="auto"/>
            <w:bottom w:val="none" w:sz="0" w:space="0" w:color="auto"/>
            <w:right w:val="none" w:sz="0" w:space="0" w:color="auto"/>
          </w:divBdr>
        </w:div>
      </w:divsChild>
    </w:div>
    <w:div w:id="682976445">
      <w:bodyDiv w:val="1"/>
      <w:marLeft w:val="0"/>
      <w:marRight w:val="0"/>
      <w:marTop w:val="0"/>
      <w:marBottom w:val="0"/>
      <w:divBdr>
        <w:top w:val="none" w:sz="0" w:space="0" w:color="auto"/>
        <w:left w:val="none" w:sz="0" w:space="0" w:color="auto"/>
        <w:bottom w:val="none" w:sz="0" w:space="0" w:color="auto"/>
        <w:right w:val="none" w:sz="0" w:space="0" w:color="auto"/>
      </w:divBdr>
      <w:divsChild>
        <w:div w:id="1253969758">
          <w:marLeft w:val="547"/>
          <w:marRight w:val="0"/>
          <w:marTop w:val="96"/>
          <w:marBottom w:val="0"/>
          <w:divBdr>
            <w:top w:val="none" w:sz="0" w:space="0" w:color="auto"/>
            <w:left w:val="none" w:sz="0" w:space="0" w:color="auto"/>
            <w:bottom w:val="none" w:sz="0" w:space="0" w:color="auto"/>
            <w:right w:val="none" w:sz="0" w:space="0" w:color="auto"/>
          </w:divBdr>
        </w:div>
        <w:div w:id="507408565">
          <w:marLeft w:val="547"/>
          <w:marRight w:val="0"/>
          <w:marTop w:val="96"/>
          <w:marBottom w:val="0"/>
          <w:divBdr>
            <w:top w:val="none" w:sz="0" w:space="0" w:color="auto"/>
            <w:left w:val="none" w:sz="0" w:space="0" w:color="auto"/>
            <w:bottom w:val="none" w:sz="0" w:space="0" w:color="auto"/>
            <w:right w:val="none" w:sz="0" w:space="0" w:color="auto"/>
          </w:divBdr>
        </w:div>
        <w:div w:id="522014155">
          <w:marLeft w:val="547"/>
          <w:marRight w:val="0"/>
          <w:marTop w:val="96"/>
          <w:marBottom w:val="0"/>
          <w:divBdr>
            <w:top w:val="none" w:sz="0" w:space="0" w:color="auto"/>
            <w:left w:val="none" w:sz="0" w:space="0" w:color="auto"/>
            <w:bottom w:val="none" w:sz="0" w:space="0" w:color="auto"/>
            <w:right w:val="none" w:sz="0" w:space="0" w:color="auto"/>
          </w:divBdr>
        </w:div>
        <w:div w:id="982929862">
          <w:marLeft w:val="547"/>
          <w:marRight w:val="0"/>
          <w:marTop w:val="96"/>
          <w:marBottom w:val="0"/>
          <w:divBdr>
            <w:top w:val="none" w:sz="0" w:space="0" w:color="auto"/>
            <w:left w:val="none" w:sz="0" w:space="0" w:color="auto"/>
            <w:bottom w:val="none" w:sz="0" w:space="0" w:color="auto"/>
            <w:right w:val="none" w:sz="0" w:space="0" w:color="auto"/>
          </w:divBdr>
        </w:div>
      </w:divsChild>
    </w:div>
    <w:div w:id="907611679">
      <w:bodyDiv w:val="1"/>
      <w:marLeft w:val="0"/>
      <w:marRight w:val="0"/>
      <w:marTop w:val="0"/>
      <w:marBottom w:val="0"/>
      <w:divBdr>
        <w:top w:val="none" w:sz="0" w:space="0" w:color="auto"/>
        <w:left w:val="none" w:sz="0" w:space="0" w:color="auto"/>
        <w:bottom w:val="none" w:sz="0" w:space="0" w:color="auto"/>
        <w:right w:val="none" w:sz="0" w:space="0" w:color="auto"/>
      </w:divBdr>
      <w:divsChild>
        <w:div w:id="2072848940">
          <w:marLeft w:val="547"/>
          <w:marRight w:val="0"/>
          <w:marTop w:val="0"/>
          <w:marBottom w:val="120"/>
          <w:divBdr>
            <w:top w:val="none" w:sz="0" w:space="0" w:color="auto"/>
            <w:left w:val="none" w:sz="0" w:space="0" w:color="auto"/>
            <w:bottom w:val="none" w:sz="0" w:space="0" w:color="auto"/>
            <w:right w:val="none" w:sz="0" w:space="0" w:color="auto"/>
          </w:divBdr>
        </w:div>
        <w:div w:id="1651210939">
          <w:marLeft w:val="547"/>
          <w:marRight w:val="0"/>
          <w:marTop w:val="0"/>
          <w:marBottom w:val="120"/>
          <w:divBdr>
            <w:top w:val="none" w:sz="0" w:space="0" w:color="auto"/>
            <w:left w:val="none" w:sz="0" w:space="0" w:color="auto"/>
            <w:bottom w:val="none" w:sz="0" w:space="0" w:color="auto"/>
            <w:right w:val="none" w:sz="0" w:space="0" w:color="auto"/>
          </w:divBdr>
        </w:div>
        <w:div w:id="857161471">
          <w:marLeft w:val="547"/>
          <w:marRight w:val="0"/>
          <w:marTop w:val="0"/>
          <w:marBottom w:val="120"/>
          <w:divBdr>
            <w:top w:val="none" w:sz="0" w:space="0" w:color="auto"/>
            <w:left w:val="none" w:sz="0" w:space="0" w:color="auto"/>
            <w:bottom w:val="none" w:sz="0" w:space="0" w:color="auto"/>
            <w:right w:val="none" w:sz="0" w:space="0" w:color="auto"/>
          </w:divBdr>
        </w:div>
        <w:div w:id="1193229359">
          <w:marLeft w:val="547"/>
          <w:marRight w:val="0"/>
          <w:marTop w:val="0"/>
          <w:marBottom w:val="120"/>
          <w:divBdr>
            <w:top w:val="none" w:sz="0" w:space="0" w:color="auto"/>
            <w:left w:val="none" w:sz="0" w:space="0" w:color="auto"/>
            <w:bottom w:val="none" w:sz="0" w:space="0" w:color="auto"/>
            <w:right w:val="none" w:sz="0" w:space="0" w:color="auto"/>
          </w:divBdr>
        </w:div>
        <w:div w:id="1110977584">
          <w:marLeft w:val="547"/>
          <w:marRight w:val="0"/>
          <w:marTop w:val="0"/>
          <w:marBottom w:val="120"/>
          <w:divBdr>
            <w:top w:val="none" w:sz="0" w:space="0" w:color="auto"/>
            <w:left w:val="none" w:sz="0" w:space="0" w:color="auto"/>
            <w:bottom w:val="none" w:sz="0" w:space="0" w:color="auto"/>
            <w:right w:val="none" w:sz="0" w:space="0" w:color="auto"/>
          </w:divBdr>
        </w:div>
      </w:divsChild>
    </w:div>
    <w:div w:id="113313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countingtools.com/articles/fund-accounting.html" TargetMode="External"/><Relationship Id="rId13" Type="http://schemas.openxmlformats.org/officeDocument/2006/relationships/hyperlink" Target="https://financialaid.uoregon.edu/oregon-guarantee" TargetMode="External"/><Relationship Id="rId18" Type="http://schemas.microsoft.com/office/2007/relationships/diagramDrawing" Target="diagrams/drawing1.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s://tuition.uoregon.edu/tfab-schedule" TargetMode="External"/><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Layout" Target="diagrams/layout1.xml"/><Relationship Id="rId10" Type="http://schemas.openxmlformats.org/officeDocument/2006/relationships/hyperlink" Target="https://www.oregon.gov/oha/PEBB/Pages/About_Us.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oregon.gov/highered/about/Pages/mission-vision-values.aspx" TargetMode="External"/><Relationship Id="rId14" Type="http://schemas.openxmlformats.org/officeDocument/2006/relationships/diagramData" Target="diagrams/data1.xml"/><Relationship Id="rId22" Type="http://schemas.microsoft.com/office/2016/09/relationships/commentsIds" Target="commentsIds.xml"/></Relationships>
</file>

<file path=word/diagrams/_rels/data1.xml.rels><?xml version="1.0" encoding="UTF-8" standalone="yes"?>
<Relationships xmlns="http://schemas.openxmlformats.org/package/2006/relationships"><Relationship Id="rId1" Type="http://schemas.openxmlformats.org/officeDocument/2006/relationships/hyperlink" Target="https://financialaid.uoregon.edu/oregon-guarantee"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35F4EE5-9B74-4753-8E86-9C7D69EB1E89}" type="doc">
      <dgm:prSet loTypeId="urn:microsoft.com/office/officeart/2005/8/layout/chevron2" loCatId="list" qsTypeId="urn:microsoft.com/office/officeart/2005/8/quickstyle/simple1" qsCatId="simple" csTypeId="urn:microsoft.com/office/officeart/2005/8/colors/colorful5" csCatId="colorful" phldr="1"/>
      <dgm:spPr/>
      <dgm:t>
        <a:bodyPr/>
        <a:lstStyle/>
        <a:p>
          <a:endParaRPr lang="en-US"/>
        </a:p>
      </dgm:t>
    </dgm:pt>
    <dgm:pt modelId="{C87F930D-3724-440F-B7D2-9AA1C27BAE34}">
      <dgm:prSet phldrT="[Text]" custT="1"/>
      <dgm:spPr/>
      <dgm:t>
        <a:bodyPr tIns="91440"/>
        <a:lstStyle/>
        <a:p>
          <a:pPr>
            <a:spcBef>
              <a:spcPts val="1200"/>
            </a:spcBef>
            <a:spcAft>
              <a:spcPts val="0"/>
            </a:spcAft>
          </a:pPr>
          <a:r>
            <a:rPr lang="en-US" sz="1600"/>
            <a:t>Fall term</a:t>
          </a:r>
        </a:p>
        <a:p>
          <a:pPr>
            <a:spcBef>
              <a:spcPts val="1200"/>
            </a:spcBef>
            <a:spcAft>
              <a:spcPts val="0"/>
            </a:spcAft>
          </a:pPr>
          <a:r>
            <a:rPr lang="en-US" sz="1600"/>
            <a:t>2021</a:t>
          </a:r>
        </a:p>
      </dgm:t>
    </dgm:pt>
    <dgm:pt modelId="{7FE9E55B-2633-47ED-9041-8D010EF2CC18}" type="parTrans" cxnId="{3680593D-783F-4F8F-9BCE-D5B854C260E0}">
      <dgm:prSet/>
      <dgm:spPr/>
      <dgm:t>
        <a:bodyPr/>
        <a:lstStyle/>
        <a:p>
          <a:endParaRPr lang="en-US"/>
        </a:p>
      </dgm:t>
    </dgm:pt>
    <dgm:pt modelId="{5EE5F712-05BD-4017-85AD-AAF3D5B1538B}" type="sibTrans" cxnId="{3680593D-783F-4F8F-9BCE-D5B854C260E0}">
      <dgm:prSet/>
      <dgm:spPr/>
      <dgm:t>
        <a:bodyPr/>
        <a:lstStyle/>
        <a:p>
          <a:endParaRPr lang="en-US"/>
        </a:p>
      </dgm:t>
    </dgm:pt>
    <dgm:pt modelId="{3E826F6B-96D3-4B92-8B70-BB9943740768}">
      <dgm:prSet phldrT="[Text]" custT="1"/>
      <dgm:spPr/>
      <dgm:t>
        <a:bodyPr/>
        <a:lstStyle/>
        <a:p>
          <a:r>
            <a:rPr lang="en-US" sz="1200">
              <a:solidFill>
                <a:schemeClr val="tx1"/>
              </a:solidFill>
            </a:rPr>
            <a:t>TFAB meetings are held throughout the fall to provide critical information and training on current and historical UO budget information, projected cost increases, historical and comparative tuition and fee rates, the Public University Support Fund (PUSF), cost management plans, enrollment trends, updated UO financials, and other financial issues.</a:t>
          </a:r>
        </a:p>
      </dgm:t>
    </dgm:pt>
    <dgm:pt modelId="{24564772-E99C-482A-BF53-0030AD0BE82F}" type="parTrans" cxnId="{229F2D8E-B56F-4936-BE40-82D724B6DCC0}">
      <dgm:prSet/>
      <dgm:spPr/>
      <dgm:t>
        <a:bodyPr/>
        <a:lstStyle/>
        <a:p>
          <a:endParaRPr lang="en-US"/>
        </a:p>
      </dgm:t>
    </dgm:pt>
    <dgm:pt modelId="{2810F0EA-5D0F-4BC5-97D1-3E947D0FDAFA}" type="sibTrans" cxnId="{229F2D8E-B56F-4936-BE40-82D724B6DCC0}">
      <dgm:prSet/>
      <dgm:spPr/>
      <dgm:t>
        <a:bodyPr/>
        <a:lstStyle/>
        <a:p>
          <a:endParaRPr lang="en-US"/>
        </a:p>
      </dgm:t>
    </dgm:pt>
    <dgm:pt modelId="{3A88D1E7-ABF4-4FC1-9F85-19ED1269D922}">
      <dgm:prSet phldrT="[Text]" custT="1"/>
      <dgm:spPr/>
      <dgm:t>
        <a:bodyPr tIns="182880"/>
        <a:lstStyle/>
        <a:p>
          <a:pPr>
            <a:spcBef>
              <a:spcPts val="1200"/>
            </a:spcBef>
            <a:spcAft>
              <a:spcPts val="0"/>
            </a:spcAft>
          </a:pPr>
          <a:r>
            <a:rPr lang="en-US" sz="1400"/>
            <a:t>January 2022</a:t>
          </a:r>
        </a:p>
      </dgm:t>
    </dgm:pt>
    <dgm:pt modelId="{BC92AC15-29C1-483A-B4A1-B90762812DAD}" type="parTrans" cxnId="{CE88A722-5750-4D83-BAC3-53EA11823334}">
      <dgm:prSet/>
      <dgm:spPr/>
      <dgm:t>
        <a:bodyPr/>
        <a:lstStyle/>
        <a:p>
          <a:endParaRPr lang="en-US"/>
        </a:p>
      </dgm:t>
    </dgm:pt>
    <dgm:pt modelId="{B250CDCA-393A-49CE-A90B-E83729A7FBB0}" type="sibTrans" cxnId="{CE88A722-5750-4D83-BAC3-53EA11823334}">
      <dgm:prSet/>
      <dgm:spPr/>
      <dgm:t>
        <a:bodyPr/>
        <a:lstStyle/>
        <a:p>
          <a:endParaRPr lang="en-US"/>
        </a:p>
      </dgm:t>
    </dgm:pt>
    <dgm:pt modelId="{8B83EEDD-D62D-4749-95C5-7AD782D6809A}">
      <dgm:prSet phldrT="[Text]" custT="1"/>
      <dgm:spPr/>
      <dgm:t>
        <a:bodyPr/>
        <a:lstStyle/>
        <a:p>
          <a:r>
            <a:rPr lang="en-US" sz="1200">
              <a:solidFill>
                <a:schemeClr val="tx1"/>
              </a:solidFill>
            </a:rPr>
            <a:t>TFAB, in collaboration with the ASUO, organizes a public student forum to share information related to the university's budget and to solicit feedback and ideas from students. This is an important way for TFAB to gain student input before developing recommendations.</a:t>
          </a:r>
        </a:p>
      </dgm:t>
    </dgm:pt>
    <dgm:pt modelId="{92B1FDEE-E4F8-40D8-92B5-853AC8B6A7E9}" type="parTrans" cxnId="{F11047DE-E330-4EA4-A39A-9CCEA350E536}">
      <dgm:prSet/>
      <dgm:spPr/>
      <dgm:t>
        <a:bodyPr/>
        <a:lstStyle/>
        <a:p>
          <a:endParaRPr lang="en-US"/>
        </a:p>
      </dgm:t>
    </dgm:pt>
    <dgm:pt modelId="{C79D18D8-13C4-4337-A553-81B1A090F42A}" type="sibTrans" cxnId="{F11047DE-E330-4EA4-A39A-9CCEA350E536}">
      <dgm:prSet/>
      <dgm:spPr/>
      <dgm:t>
        <a:bodyPr/>
        <a:lstStyle/>
        <a:p>
          <a:endParaRPr lang="en-US"/>
        </a:p>
      </dgm:t>
    </dgm:pt>
    <dgm:pt modelId="{F07D4F5A-3A85-48E0-95DC-1790A0AD873E}">
      <dgm:prSet phldrT="[Text]" custT="1"/>
      <dgm:spPr/>
      <dgm:t>
        <a:bodyPr tIns="91440"/>
        <a:lstStyle/>
        <a:p>
          <a:r>
            <a:rPr lang="en-US" sz="1400"/>
            <a:t>Mid-February</a:t>
          </a:r>
        </a:p>
      </dgm:t>
    </dgm:pt>
    <dgm:pt modelId="{0DD86199-393A-4660-9F56-BAD60E97B769}" type="parTrans" cxnId="{64D1B3BC-D073-4561-A2C9-3DA5B94D6910}">
      <dgm:prSet/>
      <dgm:spPr/>
      <dgm:t>
        <a:bodyPr/>
        <a:lstStyle/>
        <a:p>
          <a:endParaRPr lang="en-US"/>
        </a:p>
      </dgm:t>
    </dgm:pt>
    <dgm:pt modelId="{601CD2DF-4465-4166-B9DD-021DD5C0E516}" type="sibTrans" cxnId="{64D1B3BC-D073-4561-A2C9-3DA5B94D6910}">
      <dgm:prSet/>
      <dgm:spPr/>
      <dgm:t>
        <a:bodyPr/>
        <a:lstStyle/>
        <a:p>
          <a:endParaRPr lang="en-US"/>
        </a:p>
      </dgm:t>
    </dgm:pt>
    <dgm:pt modelId="{076D663A-F397-489F-9EF6-E9F3D185794C}">
      <dgm:prSet phldrT="[Text]" custT="1"/>
      <dgm:spPr/>
      <dgm:t>
        <a:bodyPr/>
        <a:lstStyle/>
        <a:p>
          <a:r>
            <a:rPr lang="en-US" sz="1200">
              <a:solidFill>
                <a:schemeClr val="tx1"/>
              </a:solidFill>
            </a:rPr>
            <a:t>TFAB provides the president with a memo that includes:</a:t>
          </a:r>
        </a:p>
      </dgm:t>
    </dgm:pt>
    <dgm:pt modelId="{4034E6C7-8DAC-4F8E-9F06-85B088BEA8AE}" type="parTrans" cxnId="{831EF8D0-94C3-437C-B4ED-8007936B2587}">
      <dgm:prSet/>
      <dgm:spPr/>
      <dgm:t>
        <a:bodyPr/>
        <a:lstStyle/>
        <a:p>
          <a:endParaRPr lang="en-US"/>
        </a:p>
      </dgm:t>
    </dgm:pt>
    <dgm:pt modelId="{8445DFF7-EC85-41C3-9562-356289E4792F}" type="sibTrans" cxnId="{831EF8D0-94C3-437C-B4ED-8007936B2587}">
      <dgm:prSet/>
      <dgm:spPr/>
      <dgm:t>
        <a:bodyPr/>
        <a:lstStyle/>
        <a:p>
          <a:endParaRPr lang="en-US"/>
        </a:p>
      </dgm:t>
    </dgm:pt>
    <dgm:pt modelId="{94766B65-5B27-4EE5-B6E1-DA6E2FFFE39B}">
      <dgm:prSet custT="1"/>
      <dgm:spPr/>
      <dgm:t>
        <a:bodyPr tIns="91440"/>
        <a:lstStyle/>
        <a:p>
          <a:r>
            <a:rPr lang="en-US" sz="1400"/>
            <a:t>Mid-/late February</a:t>
          </a:r>
        </a:p>
      </dgm:t>
    </dgm:pt>
    <dgm:pt modelId="{DA8890C2-DCC2-494F-B3B3-8D78052F255B}" type="parTrans" cxnId="{E30951E2-90D1-490C-B5AB-7CB29F99BC94}">
      <dgm:prSet/>
      <dgm:spPr/>
      <dgm:t>
        <a:bodyPr/>
        <a:lstStyle/>
        <a:p>
          <a:endParaRPr lang="en-US"/>
        </a:p>
      </dgm:t>
    </dgm:pt>
    <dgm:pt modelId="{F2DF40AC-454E-4FE3-99A6-8481D8FEC6D1}" type="sibTrans" cxnId="{E30951E2-90D1-490C-B5AB-7CB29F99BC94}">
      <dgm:prSet/>
      <dgm:spPr/>
      <dgm:t>
        <a:bodyPr/>
        <a:lstStyle/>
        <a:p>
          <a:endParaRPr lang="en-US"/>
        </a:p>
      </dgm:t>
    </dgm:pt>
    <dgm:pt modelId="{1E201283-386A-4093-8D9D-F2B511F07385}">
      <dgm:prSet custT="1"/>
      <dgm:spPr/>
      <dgm:t>
        <a:bodyPr tIns="182880"/>
        <a:lstStyle/>
        <a:p>
          <a:r>
            <a:rPr lang="en-US" sz="1400"/>
            <a:t>Late Feb/early March</a:t>
          </a:r>
        </a:p>
      </dgm:t>
    </dgm:pt>
    <dgm:pt modelId="{27327BF3-C134-4282-822C-DCF5FEB4C82A}" type="parTrans" cxnId="{A36E5855-468B-482F-BCBB-76B5B70DCF81}">
      <dgm:prSet/>
      <dgm:spPr/>
      <dgm:t>
        <a:bodyPr/>
        <a:lstStyle/>
        <a:p>
          <a:endParaRPr lang="en-US"/>
        </a:p>
      </dgm:t>
    </dgm:pt>
    <dgm:pt modelId="{B34118C3-8809-43CA-8801-3601B10874EE}" type="sibTrans" cxnId="{A36E5855-468B-482F-BCBB-76B5B70DCF81}">
      <dgm:prSet/>
      <dgm:spPr/>
      <dgm:t>
        <a:bodyPr/>
        <a:lstStyle/>
        <a:p>
          <a:endParaRPr lang="en-US"/>
        </a:p>
      </dgm:t>
    </dgm:pt>
    <dgm:pt modelId="{512C5113-5B4D-4D3B-80AD-69A9A463AB7A}">
      <dgm:prSet custT="1"/>
      <dgm:spPr/>
      <dgm:t>
        <a:bodyPr tIns="274320"/>
        <a:lstStyle/>
        <a:p>
          <a:r>
            <a:rPr lang="en-US" sz="1400"/>
            <a:t>Weeks 1-5 of winter term</a:t>
          </a:r>
        </a:p>
      </dgm:t>
    </dgm:pt>
    <dgm:pt modelId="{F2EE1467-5B9B-4F21-906A-D4AC2762522D}" type="parTrans" cxnId="{7AFFE7D2-3A65-462C-90D9-642EB98C9412}">
      <dgm:prSet/>
      <dgm:spPr/>
      <dgm:t>
        <a:bodyPr/>
        <a:lstStyle/>
        <a:p>
          <a:endParaRPr lang="en-US"/>
        </a:p>
      </dgm:t>
    </dgm:pt>
    <dgm:pt modelId="{A4088791-FF76-4E09-BCCB-054E3C7754A9}" type="sibTrans" cxnId="{7AFFE7D2-3A65-462C-90D9-642EB98C9412}">
      <dgm:prSet/>
      <dgm:spPr/>
      <dgm:t>
        <a:bodyPr/>
        <a:lstStyle/>
        <a:p>
          <a:endParaRPr lang="en-US"/>
        </a:p>
      </dgm:t>
    </dgm:pt>
    <dgm:pt modelId="{6F47104E-3089-4082-9BD0-8C34DCE92CAC}">
      <dgm:prSet custT="1"/>
      <dgm:spPr/>
      <dgm:t>
        <a:bodyPr/>
        <a:lstStyle/>
        <a:p>
          <a:r>
            <a:rPr lang="en-US" sz="1200">
              <a:solidFill>
                <a:schemeClr val="tx1"/>
              </a:solidFill>
            </a:rPr>
            <a:t>TFAB meets regularly to review proposals for graduate tuition, mandatory fees, non-mandatory fees (such as housing costs and course fees), and the structure of tuition (including, for example, differential tuition levels or comprehensive graduate program rates).  TFAB also develops recommendations for the tuition rates for the incoming cohort of undergraduate students.</a:t>
          </a:r>
        </a:p>
      </dgm:t>
    </dgm:pt>
    <dgm:pt modelId="{5CC5D136-9159-46F5-9BEF-EDB55F4EE1C2}" type="parTrans" cxnId="{CEA00581-4ECE-45FD-8B6E-65C841456548}">
      <dgm:prSet/>
      <dgm:spPr/>
      <dgm:t>
        <a:bodyPr/>
        <a:lstStyle/>
        <a:p>
          <a:endParaRPr lang="en-US"/>
        </a:p>
      </dgm:t>
    </dgm:pt>
    <dgm:pt modelId="{B624F0B2-46C8-43B2-80B7-2530C489D928}" type="sibTrans" cxnId="{CEA00581-4ECE-45FD-8B6E-65C841456548}">
      <dgm:prSet/>
      <dgm:spPr/>
      <dgm:t>
        <a:bodyPr/>
        <a:lstStyle/>
        <a:p>
          <a:endParaRPr lang="en-US"/>
        </a:p>
      </dgm:t>
    </dgm:pt>
    <dgm:pt modelId="{7A784FB9-A346-4D67-B72D-8E5C13A05D83}">
      <dgm:prSet phldrT="[Text]" custT="1"/>
      <dgm:spPr/>
      <dgm:t>
        <a:bodyPr/>
        <a:lstStyle/>
        <a:p>
          <a:r>
            <a:rPr lang="en-US" sz="1200">
              <a:solidFill>
                <a:schemeClr val="tx1"/>
              </a:solidFill>
            </a:rPr>
            <a:t>TFAB members have the opportunity to submit a minority memo if they have recommendations that differ from the consensus of the group</a:t>
          </a:r>
        </a:p>
      </dgm:t>
    </dgm:pt>
    <dgm:pt modelId="{7082DA3A-4BEA-45B1-8DD1-2E8BFB0E0BAE}" type="parTrans" cxnId="{6E690FF9-5412-4DBE-AB1B-56BC92F9487C}">
      <dgm:prSet/>
      <dgm:spPr/>
      <dgm:t>
        <a:bodyPr/>
        <a:lstStyle/>
        <a:p>
          <a:endParaRPr lang="en-US"/>
        </a:p>
      </dgm:t>
    </dgm:pt>
    <dgm:pt modelId="{F11C2B45-8B3B-43B6-83CF-A661C8A100DB}" type="sibTrans" cxnId="{6E690FF9-5412-4DBE-AB1B-56BC92F9487C}">
      <dgm:prSet/>
      <dgm:spPr/>
      <dgm:t>
        <a:bodyPr/>
        <a:lstStyle/>
        <a:p>
          <a:endParaRPr lang="en-US"/>
        </a:p>
      </dgm:t>
    </dgm:pt>
    <dgm:pt modelId="{02DEC1FE-CC7B-4E31-8C78-0BB7A71C8DA3}">
      <dgm:prSet custT="1"/>
      <dgm:spPr/>
      <dgm:t>
        <a:bodyPr/>
        <a:lstStyle/>
        <a:p>
          <a:r>
            <a:rPr lang="en-US" sz="1200">
              <a:solidFill>
                <a:schemeClr val="tx1"/>
              </a:solidFill>
            </a:rPr>
            <a:t>The university president:</a:t>
          </a:r>
        </a:p>
      </dgm:t>
    </dgm:pt>
    <dgm:pt modelId="{D24F0CE9-DEC9-4165-A869-850E0647D6CC}" type="parTrans" cxnId="{DC49605C-A4DC-463A-BE89-5B49C367025F}">
      <dgm:prSet/>
      <dgm:spPr/>
      <dgm:t>
        <a:bodyPr/>
        <a:lstStyle/>
        <a:p>
          <a:endParaRPr lang="en-US"/>
        </a:p>
      </dgm:t>
    </dgm:pt>
    <dgm:pt modelId="{88A743C6-C096-4B69-AA26-25A83A79390E}" type="sibTrans" cxnId="{DC49605C-A4DC-463A-BE89-5B49C367025F}">
      <dgm:prSet/>
      <dgm:spPr/>
      <dgm:t>
        <a:bodyPr/>
        <a:lstStyle/>
        <a:p>
          <a:endParaRPr lang="en-US"/>
        </a:p>
      </dgm:t>
    </dgm:pt>
    <dgm:pt modelId="{16538D88-B6F6-4B8D-A3B2-6D0FFE0285DE}">
      <dgm:prSet custT="1"/>
      <dgm:spPr/>
      <dgm:t>
        <a:bodyPr/>
        <a:lstStyle/>
        <a:p>
          <a:r>
            <a:rPr lang="en-US" sz="1200"/>
            <a:t>The university president:</a:t>
          </a:r>
        </a:p>
      </dgm:t>
    </dgm:pt>
    <dgm:pt modelId="{5724252F-DD1B-4658-B133-5B9B7C235540}" type="parTrans" cxnId="{C0B08687-BCAB-45E5-94C4-9951DB37B865}">
      <dgm:prSet/>
      <dgm:spPr/>
      <dgm:t>
        <a:bodyPr/>
        <a:lstStyle/>
        <a:p>
          <a:endParaRPr lang="en-US"/>
        </a:p>
      </dgm:t>
    </dgm:pt>
    <dgm:pt modelId="{72B5A100-27A4-459B-8BAD-5F1330081180}" type="sibTrans" cxnId="{C0B08687-BCAB-45E5-94C4-9951DB37B865}">
      <dgm:prSet/>
      <dgm:spPr/>
      <dgm:t>
        <a:bodyPr/>
        <a:lstStyle/>
        <a:p>
          <a:endParaRPr lang="en-US"/>
        </a:p>
      </dgm:t>
    </dgm:pt>
    <dgm:pt modelId="{32D0864C-E86E-4285-B44F-C8EA314AB8F8}">
      <dgm:prSet custT="1"/>
      <dgm:spPr/>
      <dgm:t>
        <a:bodyPr tIns="91440"/>
        <a:lstStyle/>
        <a:p>
          <a:r>
            <a:rPr lang="en-US" sz="1400"/>
            <a:t>March 2022</a:t>
          </a:r>
        </a:p>
      </dgm:t>
    </dgm:pt>
    <dgm:pt modelId="{EC1F8826-F0ED-4ADB-9A80-1F45F7725C3F}" type="parTrans" cxnId="{872D4B7B-12AA-49D3-8133-DBDA24CE814C}">
      <dgm:prSet/>
      <dgm:spPr/>
      <dgm:t>
        <a:bodyPr/>
        <a:lstStyle/>
        <a:p>
          <a:endParaRPr lang="en-US"/>
        </a:p>
      </dgm:t>
    </dgm:pt>
    <dgm:pt modelId="{FC9251E6-0AD0-40DB-97F1-788B83EDFE98}" type="sibTrans" cxnId="{872D4B7B-12AA-49D3-8133-DBDA24CE814C}">
      <dgm:prSet/>
      <dgm:spPr/>
      <dgm:t>
        <a:bodyPr/>
        <a:lstStyle/>
        <a:p>
          <a:endParaRPr lang="en-US"/>
        </a:p>
      </dgm:t>
    </dgm:pt>
    <dgm:pt modelId="{3F34A658-E2CC-4728-859E-682C9FD46B3B}">
      <dgm:prSet custT="1"/>
      <dgm:spPr/>
      <dgm:t>
        <a:bodyPr/>
        <a:lstStyle/>
        <a:p>
          <a:r>
            <a:rPr lang="en-US" sz="1200">
              <a:solidFill>
                <a:schemeClr val="tx1"/>
              </a:solidFill>
            </a:rPr>
            <a:t>opens a campus-wide survey requesting input from students, faculty, and staff</a:t>
          </a:r>
        </a:p>
      </dgm:t>
    </dgm:pt>
    <dgm:pt modelId="{E561061E-855A-479F-B94B-A233403FB981}" type="parTrans" cxnId="{29F0C730-7141-4D1B-8A7A-FCE9FA1A1628}">
      <dgm:prSet/>
      <dgm:spPr/>
      <dgm:t>
        <a:bodyPr/>
        <a:lstStyle/>
        <a:p>
          <a:endParaRPr lang="en-US"/>
        </a:p>
      </dgm:t>
    </dgm:pt>
    <dgm:pt modelId="{E876495C-FC54-4707-A916-FC39E3C38DED}" type="sibTrans" cxnId="{29F0C730-7141-4D1B-8A7A-FCE9FA1A1628}">
      <dgm:prSet/>
      <dgm:spPr/>
      <dgm:t>
        <a:bodyPr/>
        <a:lstStyle/>
        <a:p>
          <a:endParaRPr lang="en-US"/>
        </a:p>
      </dgm:t>
    </dgm:pt>
    <dgm:pt modelId="{1E5B7F07-E7D8-40BB-B5E7-73E0F4B12446}">
      <dgm:prSet custT="1"/>
      <dgm:spPr/>
      <dgm:t>
        <a:bodyPr/>
        <a:lstStyle/>
        <a:p>
          <a:r>
            <a:rPr lang="en-US" sz="1200">
              <a:solidFill>
                <a:schemeClr val="tx1"/>
              </a:solidFill>
            </a:rPr>
            <a:t>reviews the TFAB memo and shares it with campus</a:t>
          </a:r>
        </a:p>
      </dgm:t>
    </dgm:pt>
    <dgm:pt modelId="{929AC0E4-08A7-4D52-82F2-F5376BF73476}" type="parTrans" cxnId="{D7B36CAF-C94D-4D58-A258-23F6D1029BB1}">
      <dgm:prSet/>
      <dgm:spPr/>
      <dgm:t>
        <a:bodyPr/>
        <a:lstStyle/>
        <a:p>
          <a:endParaRPr lang="en-US"/>
        </a:p>
      </dgm:t>
    </dgm:pt>
    <dgm:pt modelId="{95547C0F-45FC-4C3A-9A48-4CFA4327DC73}" type="sibTrans" cxnId="{D7B36CAF-C94D-4D58-A258-23F6D1029BB1}">
      <dgm:prSet/>
      <dgm:spPr/>
      <dgm:t>
        <a:bodyPr/>
        <a:lstStyle/>
        <a:p>
          <a:endParaRPr lang="en-US"/>
        </a:p>
      </dgm:t>
    </dgm:pt>
    <dgm:pt modelId="{20D24858-C644-40DF-A6B0-14705BCD8182}">
      <dgm:prSet custT="1"/>
      <dgm:spPr/>
      <dgm:t>
        <a:bodyPr/>
        <a:lstStyle/>
        <a:p>
          <a:r>
            <a:rPr lang="en-US" sz="1200">
              <a:solidFill>
                <a:schemeClr val="tx1"/>
              </a:solidFill>
            </a:rPr>
            <a:t>holds a public forum to discuss the TFAB recommendations</a:t>
          </a:r>
        </a:p>
      </dgm:t>
    </dgm:pt>
    <dgm:pt modelId="{FCD8E987-F9BC-4041-A0F5-75139C9B6705}" type="parTrans" cxnId="{6B710FD3-EA5C-4422-989D-EDACA904162C}">
      <dgm:prSet/>
      <dgm:spPr/>
      <dgm:t>
        <a:bodyPr/>
        <a:lstStyle/>
        <a:p>
          <a:endParaRPr lang="en-US"/>
        </a:p>
      </dgm:t>
    </dgm:pt>
    <dgm:pt modelId="{6460E392-7656-458F-8B57-EC726F82013B}" type="sibTrans" cxnId="{6B710FD3-EA5C-4422-989D-EDACA904162C}">
      <dgm:prSet/>
      <dgm:spPr/>
      <dgm:t>
        <a:bodyPr/>
        <a:lstStyle/>
        <a:p>
          <a:endParaRPr lang="en-US"/>
        </a:p>
      </dgm:t>
    </dgm:pt>
    <dgm:pt modelId="{AAD34415-5306-4173-B519-408F1CDD9741}">
      <dgm:prSet custT="1"/>
      <dgm:spPr/>
      <dgm:t>
        <a:bodyPr/>
        <a:lstStyle/>
        <a:p>
          <a:r>
            <a:rPr lang="en-US" sz="1200"/>
            <a:t>reviews </a:t>
          </a:r>
          <a:r>
            <a:rPr lang="en-US" sz="1200">
              <a:solidFill>
                <a:schemeClr val="tx1"/>
              </a:solidFill>
            </a:rPr>
            <a:t>input on TFAB's recommendations before making his own recommendations</a:t>
          </a:r>
        </a:p>
      </dgm:t>
    </dgm:pt>
    <dgm:pt modelId="{D1633DB5-280D-4751-A3A7-C359F20A66EE}" type="parTrans" cxnId="{33E45C8C-F70D-471B-B9B9-4A62BE63DAF5}">
      <dgm:prSet/>
      <dgm:spPr/>
      <dgm:t>
        <a:bodyPr/>
        <a:lstStyle/>
        <a:p>
          <a:endParaRPr lang="en-US"/>
        </a:p>
      </dgm:t>
    </dgm:pt>
    <dgm:pt modelId="{9E3C8129-A565-4411-809D-D394D671DE5C}" type="sibTrans" cxnId="{33E45C8C-F70D-471B-B9B9-4A62BE63DAF5}">
      <dgm:prSet/>
      <dgm:spPr/>
      <dgm:t>
        <a:bodyPr/>
        <a:lstStyle/>
        <a:p>
          <a:endParaRPr lang="en-US"/>
        </a:p>
      </dgm:t>
    </dgm:pt>
    <dgm:pt modelId="{665C38E1-EFC6-4371-BCF6-BBDBA2C75EDB}">
      <dgm:prSet custT="1"/>
      <dgm:spPr/>
      <dgm:t>
        <a:bodyPr/>
        <a:lstStyle/>
        <a:p>
          <a:r>
            <a:rPr lang="en-US" sz="1200">
              <a:solidFill>
                <a:schemeClr val="tx1"/>
              </a:solidFill>
            </a:rPr>
            <a:t>sends a message to campus regarding his recommendations</a:t>
          </a:r>
        </a:p>
      </dgm:t>
    </dgm:pt>
    <dgm:pt modelId="{338682BB-EBE4-49E5-A84D-128CB0277287}" type="parTrans" cxnId="{CB34DE73-0EAC-47AB-8397-C2AF0C6949DB}">
      <dgm:prSet/>
      <dgm:spPr/>
      <dgm:t>
        <a:bodyPr/>
        <a:lstStyle/>
        <a:p>
          <a:endParaRPr lang="en-US"/>
        </a:p>
      </dgm:t>
    </dgm:pt>
    <dgm:pt modelId="{74ED6474-E3C2-45FC-AF17-E6DA6F1E6EF4}" type="sibTrans" cxnId="{CB34DE73-0EAC-47AB-8397-C2AF0C6949DB}">
      <dgm:prSet/>
      <dgm:spPr/>
      <dgm:t>
        <a:bodyPr/>
        <a:lstStyle/>
        <a:p>
          <a:endParaRPr lang="en-US"/>
        </a:p>
      </dgm:t>
    </dgm:pt>
    <dgm:pt modelId="{BE498473-C92A-46A4-BE5A-F67E1B7DAE28}">
      <dgm:prSet custT="1"/>
      <dgm:spPr/>
      <dgm:t>
        <a:bodyPr/>
        <a:lstStyle/>
        <a:p>
          <a:r>
            <a:rPr lang="en-US" sz="1200">
              <a:solidFill>
                <a:schemeClr val="tx1"/>
              </a:solidFill>
            </a:rPr>
            <a:t>submits tuition and fee recommendations to the UO Board of Trustees</a:t>
          </a:r>
        </a:p>
      </dgm:t>
    </dgm:pt>
    <dgm:pt modelId="{A14EE80B-A3BA-490A-A848-AF3B60797DCC}" type="parTrans" cxnId="{2841DE5B-6AAC-431E-B798-75F6C8966A21}">
      <dgm:prSet/>
      <dgm:spPr/>
      <dgm:t>
        <a:bodyPr/>
        <a:lstStyle/>
        <a:p>
          <a:endParaRPr lang="en-US"/>
        </a:p>
      </dgm:t>
    </dgm:pt>
    <dgm:pt modelId="{DF7169EB-B15D-4012-BF26-31B139060B0D}" type="sibTrans" cxnId="{2841DE5B-6AAC-431E-B798-75F6C8966A21}">
      <dgm:prSet/>
      <dgm:spPr/>
      <dgm:t>
        <a:bodyPr/>
        <a:lstStyle/>
        <a:p>
          <a:endParaRPr lang="en-US"/>
        </a:p>
      </dgm:t>
    </dgm:pt>
    <dgm:pt modelId="{1BB921DE-2567-4E6D-99F1-A34A84801209}">
      <dgm:prSet custT="1"/>
      <dgm:spPr/>
      <dgm:t>
        <a:bodyPr/>
        <a:lstStyle/>
        <a:p>
          <a:r>
            <a:rPr lang="en-US" sz="1200">
              <a:solidFill>
                <a:schemeClr val="tx1"/>
              </a:solidFill>
            </a:rPr>
            <a:t>The UO Board of Trustees reviews recommendations and determines FY2023 UO tuition rates.</a:t>
          </a:r>
        </a:p>
      </dgm:t>
      <dgm:extLst>
        <a:ext uri="{E40237B7-FDA0-4F09-8148-C483321AD2D9}">
          <dgm14:cNvPr xmlns:dgm14="http://schemas.microsoft.com/office/drawing/2010/diagram" id="0" name="">
            <a:hlinkClick xmlns:r="http://schemas.openxmlformats.org/officeDocument/2006/relationships" r:id="rId1"/>
          </dgm14:cNvPr>
        </a:ext>
      </dgm:extLst>
    </dgm:pt>
    <dgm:pt modelId="{215DB216-51FE-4A9F-82C7-0A2CFFE6F8F4}" type="parTrans" cxnId="{28EA7623-7703-47E0-973C-B9FFB0A45578}">
      <dgm:prSet/>
      <dgm:spPr/>
      <dgm:t>
        <a:bodyPr/>
        <a:lstStyle/>
        <a:p>
          <a:endParaRPr lang="en-US"/>
        </a:p>
      </dgm:t>
    </dgm:pt>
    <dgm:pt modelId="{E86F2624-4C77-4558-97C7-733E414BB812}" type="sibTrans" cxnId="{28EA7623-7703-47E0-973C-B9FFB0A45578}">
      <dgm:prSet/>
      <dgm:spPr/>
      <dgm:t>
        <a:bodyPr/>
        <a:lstStyle/>
        <a:p>
          <a:endParaRPr lang="en-US"/>
        </a:p>
      </dgm:t>
    </dgm:pt>
    <dgm:pt modelId="{54659DEA-CE90-4CCD-8487-FB62945D4CF4}">
      <dgm:prSet phldrT="[Text]" custT="1"/>
      <dgm:spPr/>
      <dgm:t>
        <a:bodyPr/>
        <a:lstStyle/>
        <a:p>
          <a:r>
            <a:rPr lang="en-US" sz="1200">
              <a:solidFill>
                <a:schemeClr val="tx1"/>
              </a:solidFill>
            </a:rPr>
            <a:t>the full range of opinions and concerns raised by members of the advisory group</a:t>
          </a:r>
        </a:p>
      </dgm:t>
    </dgm:pt>
    <dgm:pt modelId="{9201C053-138D-4D67-A7C7-0854BFD15F4D}" type="sibTrans" cxnId="{DC7B262F-DC47-4E5B-8A9A-357E5B5FB774}">
      <dgm:prSet/>
      <dgm:spPr/>
      <dgm:t>
        <a:bodyPr/>
        <a:lstStyle/>
        <a:p>
          <a:endParaRPr lang="en-US"/>
        </a:p>
      </dgm:t>
    </dgm:pt>
    <dgm:pt modelId="{FC12E8D3-5D91-45C6-948A-095572A68D73}" type="parTrans" cxnId="{DC7B262F-DC47-4E5B-8A9A-357E5B5FB774}">
      <dgm:prSet/>
      <dgm:spPr/>
      <dgm:t>
        <a:bodyPr/>
        <a:lstStyle/>
        <a:p>
          <a:endParaRPr lang="en-US"/>
        </a:p>
      </dgm:t>
    </dgm:pt>
    <dgm:pt modelId="{98BD581A-14DC-4EF8-BCF9-B718016ED48B}">
      <dgm:prSet phldrT="[Text]" custT="1"/>
      <dgm:spPr/>
      <dgm:t>
        <a:bodyPr/>
        <a:lstStyle/>
        <a:p>
          <a:r>
            <a:rPr lang="en-US" sz="1200">
              <a:solidFill>
                <a:schemeClr val="tx1"/>
              </a:solidFill>
            </a:rPr>
            <a:t>recommendations related to tuition and fee increases, and</a:t>
          </a:r>
        </a:p>
      </dgm:t>
    </dgm:pt>
    <dgm:pt modelId="{337BA5E7-503A-4B04-8AA4-DD39C79E3E19}" type="parTrans" cxnId="{54B63451-1181-4EE2-AFA9-9DFD9F458638}">
      <dgm:prSet/>
      <dgm:spPr/>
    </dgm:pt>
    <dgm:pt modelId="{64300F76-32FC-487C-8C5B-24B2D6A461D8}" type="sibTrans" cxnId="{54B63451-1181-4EE2-AFA9-9DFD9F458638}">
      <dgm:prSet/>
      <dgm:spPr/>
    </dgm:pt>
    <dgm:pt modelId="{D8B17E94-6C96-463B-9B6C-C7DC9D6411BD}" type="pres">
      <dgm:prSet presAssocID="{935F4EE5-9B74-4753-8E86-9C7D69EB1E89}" presName="linearFlow" presStyleCnt="0">
        <dgm:presLayoutVars>
          <dgm:dir/>
          <dgm:animLvl val="lvl"/>
          <dgm:resizeHandles val="exact"/>
        </dgm:presLayoutVars>
      </dgm:prSet>
      <dgm:spPr/>
      <dgm:t>
        <a:bodyPr/>
        <a:lstStyle/>
        <a:p>
          <a:endParaRPr lang="en-US"/>
        </a:p>
      </dgm:t>
    </dgm:pt>
    <dgm:pt modelId="{1506A3B5-93F7-4EA9-A82E-8FA5825183D7}" type="pres">
      <dgm:prSet presAssocID="{C87F930D-3724-440F-B7D2-9AA1C27BAE34}" presName="composite" presStyleCnt="0"/>
      <dgm:spPr/>
    </dgm:pt>
    <dgm:pt modelId="{7306E7FE-AB38-43C5-93CC-4C67C81EEC37}" type="pres">
      <dgm:prSet presAssocID="{C87F930D-3724-440F-B7D2-9AA1C27BAE34}" presName="parentText" presStyleLbl="alignNode1" presStyleIdx="0" presStyleCnt="7">
        <dgm:presLayoutVars>
          <dgm:chMax val="1"/>
          <dgm:bulletEnabled val="1"/>
        </dgm:presLayoutVars>
      </dgm:prSet>
      <dgm:spPr/>
      <dgm:t>
        <a:bodyPr/>
        <a:lstStyle/>
        <a:p>
          <a:endParaRPr lang="en-US"/>
        </a:p>
      </dgm:t>
    </dgm:pt>
    <dgm:pt modelId="{C3786337-6B6C-4680-8D19-634C429F13A2}" type="pres">
      <dgm:prSet presAssocID="{C87F930D-3724-440F-B7D2-9AA1C27BAE34}" presName="descendantText" presStyleLbl="alignAcc1" presStyleIdx="0" presStyleCnt="7">
        <dgm:presLayoutVars>
          <dgm:bulletEnabled val="1"/>
        </dgm:presLayoutVars>
      </dgm:prSet>
      <dgm:spPr/>
      <dgm:t>
        <a:bodyPr/>
        <a:lstStyle/>
        <a:p>
          <a:endParaRPr lang="en-US"/>
        </a:p>
      </dgm:t>
    </dgm:pt>
    <dgm:pt modelId="{DBD8A728-9DC4-47E5-98CC-3D26FD878B2F}" type="pres">
      <dgm:prSet presAssocID="{5EE5F712-05BD-4017-85AD-AAF3D5B1538B}" presName="sp" presStyleCnt="0"/>
      <dgm:spPr/>
    </dgm:pt>
    <dgm:pt modelId="{4AE01708-D545-488D-8D5A-B274901C06C5}" type="pres">
      <dgm:prSet presAssocID="{3A88D1E7-ABF4-4FC1-9F85-19ED1269D922}" presName="composite" presStyleCnt="0"/>
      <dgm:spPr/>
    </dgm:pt>
    <dgm:pt modelId="{A4ABE861-6EBB-49D7-98FE-DC2A174DEBEB}" type="pres">
      <dgm:prSet presAssocID="{3A88D1E7-ABF4-4FC1-9F85-19ED1269D922}" presName="parentText" presStyleLbl="alignNode1" presStyleIdx="1" presStyleCnt="7">
        <dgm:presLayoutVars>
          <dgm:chMax val="1"/>
          <dgm:bulletEnabled val="1"/>
        </dgm:presLayoutVars>
      </dgm:prSet>
      <dgm:spPr/>
      <dgm:t>
        <a:bodyPr/>
        <a:lstStyle/>
        <a:p>
          <a:endParaRPr lang="en-US"/>
        </a:p>
      </dgm:t>
    </dgm:pt>
    <dgm:pt modelId="{CD39473A-EA82-4701-B90E-9FDEDC76AB48}" type="pres">
      <dgm:prSet presAssocID="{3A88D1E7-ABF4-4FC1-9F85-19ED1269D922}" presName="descendantText" presStyleLbl="alignAcc1" presStyleIdx="1" presStyleCnt="7">
        <dgm:presLayoutVars>
          <dgm:bulletEnabled val="1"/>
        </dgm:presLayoutVars>
      </dgm:prSet>
      <dgm:spPr/>
      <dgm:t>
        <a:bodyPr/>
        <a:lstStyle/>
        <a:p>
          <a:endParaRPr lang="en-US"/>
        </a:p>
      </dgm:t>
    </dgm:pt>
    <dgm:pt modelId="{447533D0-1FC6-4E13-A420-99D97B122182}" type="pres">
      <dgm:prSet presAssocID="{B250CDCA-393A-49CE-A90B-E83729A7FBB0}" presName="sp" presStyleCnt="0"/>
      <dgm:spPr/>
    </dgm:pt>
    <dgm:pt modelId="{8F2B0B1A-5116-4D96-9FA4-7CE8CB13A95E}" type="pres">
      <dgm:prSet presAssocID="{512C5113-5B4D-4D3B-80AD-69A9A463AB7A}" presName="composite" presStyleCnt="0"/>
      <dgm:spPr/>
    </dgm:pt>
    <dgm:pt modelId="{E2BDF40F-C458-4100-BA54-DFDCBCB2F7C2}" type="pres">
      <dgm:prSet presAssocID="{512C5113-5B4D-4D3B-80AD-69A9A463AB7A}" presName="parentText" presStyleLbl="alignNode1" presStyleIdx="2" presStyleCnt="7">
        <dgm:presLayoutVars>
          <dgm:chMax val="1"/>
          <dgm:bulletEnabled val="1"/>
        </dgm:presLayoutVars>
      </dgm:prSet>
      <dgm:spPr/>
      <dgm:t>
        <a:bodyPr/>
        <a:lstStyle/>
        <a:p>
          <a:endParaRPr lang="en-US"/>
        </a:p>
      </dgm:t>
    </dgm:pt>
    <dgm:pt modelId="{2028036E-7BC2-48C9-9F3F-0C4F67700929}" type="pres">
      <dgm:prSet presAssocID="{512C5113-5B4D-4D3B-80AD-69A9A463AB7A}" presName="descendantText" presStyleLbl="alignAcc1" presStyleIdx="2" presStyleCnt="7" custScaleY="111491">
        <dgm:presLayoutVars>
          <dgm:bulletEnabled val="1"/>
        </dgm:presLayoutVars>
      </dgm:prSet>
      <dgm:spPr/>
      <dgm:t>
        <a:bodyPr/>
        <a:lstStyle/>
        <a:p>
          <a:endParaRPr lang="en-US"/>
        </a:p>
      </dgm:t>
    </dgm:pt>
    <dgm:pt modelId="{216FA839-2DAB-4EBC-BCA2-C84C45DEB28F}" type="pres">
      <dgm:prSet presAssocID="{A4088791-FF76-4E09-BCCB-054E3C7754A9}" presName="sp" presStyleCnt="0"/>
      <dgm:spPr/>
    </dgm:pt>
    <dgm:pt modelId="{EDEB5577-617A-4932-A46D-039C793A7F18}" type="pres">
      <dgm:prSet presAssocID="{F07D4F5A-3A85-48E0-95DC-1790A0AD873E}" presName="composite" presStyleCnt="0"/>
      <dgm:spPr/>
    </dgm:pt>
    <dgm:pt modelId="{CA18541F-E0C7-49C7-99CA-C025927C3FDB}" type="pres">
      <dgm:prSet presAssocID="{F07D4F5A-3A85-48E0-95DC-1790A0AD873E}" presName="parentText" presStyleLbl="alignNode1" presStyleIdx="3" presStyleCnt="7">
        <dgm:presLayoutVars>
          <dgm:chMax val="1"/>
          <dgm:bulletEnabled val="1"/>
        </dgm:presLayoutVars>
      </dgm:prSet>
      <dgm:spPr/>
      <dgm:t>
        <a:bodyPr/>
        <a:lstStyle/>
        <a:p>
          <a:endParaRPr lang="en-US"/>
        </a:p>
      </dgm:t>
    </dgm:pt>
    <dgm:pt modelId="{4A8A59F1-128E-4E73-853E-7F16E82B5AB2}" type="pres">
      <dgm:prSet presAssocID="{F07D4F5A-3A85-48E0-95DC-1790A0AD873E}" presName="descendantText" presStyleLbl="alignAcc1" presStyleIdx="3" presStyleCnt="7" custScaleY="123924">
        <dgm:presLayoutVars>
          <dgm:bulletEnabled val="1"/>
        </dgm:presLayoutVars>
      </dgm:prSet>
      <dgm:spPr/>
      <dgm:t>
        <a:bodyPr/>
        <a:lstStyle/>
        <a:p>
          <a:endParaRPr lang="en-US"/>
        </a:p>
      </dgm:t>
    </dgm:pt>
    <dgm:pt modelId="{F5DFAFE9-5BB5-4DDD-AC23-4790CD71C930}" type="pres">
      <dgm:prSet presAssocID="{601CD2DF-4465-4166-B9DD-021DD5C0E516}" presName="sp" presStyleCnt="0"/>
      <dgm:spPr/>
    </dgm:pt>
    <dgm:pt modelId="{82A96BBA-A831-4CBE-AC18-E712B7297D23}" type="pres">
      <dgm:prSet presAssocID="{94766B65-5B27-4EE5-B6E1-DA6E2FFFE39B}" presName="composite" presStyleCnt="0"/>
      <dgm:spPr/>
    </dgm:pt>
    <dgm:pt modelId="{AEF0FD2B-2FB7-49F9-BEBC-8536080346B3}" type="pres">
      <dgm:prSet presAssocID="{94766B65-5B27-4EE5-B6E1-DA6E2FFFE39B}" presName="parentText" presStyleLbl="alignNode1" presStyleIdx="4" presStyleCnt="7">
        <dgm:presLayoutVars>
          <dgm:chMax val="1"/>
          <dgm:bulletEnabled val="1"/>
        </dgm:presLayoutVars>
      </dgm:prSet>
      <dgm:spPr/>
      <dgm:t>
        <a:bodyPr/>
        <a:lstStyle/>
        <a:p>
          <a:endParaRPr lang="en-US"/>
        </a:p>
      </dgm:t>
    </dgm:pt>
    <dgm:pt modelId="{923C3079-9A61-44DB-89A1-1A94CD77B46C}" type="pres">
      <dgm:prSet presAssocID="{94766B65-5B27-4EE5-B6E1-DA6E2FFFE39B}" presName="descendantText" presStyleLbl="alignAcc1" presStyleIdx="4" presStyleCnt="7">
        <dgm:presLayoutVars>
          <dgm:bulletEnabled val="1"/>
        </dgm:presLayoutVars>
      </dgm:prSet>
      <dgm:spPr/>
      <dgm:t>
        <a:bodyPr/>
        <a:lstStyle/>
        <a:p>
          <a:endParaRPr lang="en-US"/>
        </a:p>
      </dgm:t>
    </dgm:pt>
    <dgm:pt modelId="{974DE73B-4261-4E85-8AE3-B326275DEFC7}" type="pres">
      <dgm:prSet presAssocID="{F2DF40AC-454E-4FE3-99A6-8481D8FEC6D1}" presName="sp" presStyleCnt="0"/>
      <dgm:spPr/>
    </dgm:pt>
    <dgm:pt modelId="{834504BF-6C0F-4CDC-BECB-F93C20F9C33A}" type="pres">
      <dgm:prSet presAssocID="{1E201283-386A-4093-8D9D-F2B511F07385}" presName="composite" presStyleCnt="0"/>
      <dgm:spPr/>
    </dgm:pt>
    <dgm:pt modelId="{48A97D5E-ADCA-4E5A-9AC9-C93CBD46AA44}" type="pres">
      <dgm:prSet presAssocID="{1E201283-386A-4093-8D9D-F2B511F07385}" presName="parentText" presStyleLbl="alignNode1" presStyleIdx="5" presStyleCnt="7">
        <dgm:presLayoutVars>
          <dgm:chMax val="1"/>
          <dgm:bulletEnabled val="1"/>
        </dgm:presLayoutVars>
      </dgm:prSet>
      <dgm:spPr/>
      <dgm:t>
        <a:bodyPr/>
        <a:lstStyle/>
        <a:p>
          <a:endParaRPr lang="en-US"/>
        </a:p>
      </dgm:t>
    </dgm:pt>
    <dgm:pt modelId="{E338EF67-4E24-4B13-AFF6-36E30FD69E6D}" type="pres">
      <dgm:prSet presAssocID="{1E201283-386A-4093-8D9D-F2B511F07385}" presName="descendantText" presStyleLbl="alignAcc1" presStyleIdx="5" presStyleCnt="7">
        <dgm:presLayoutVars>
          <dgm:bulletEnabled val="1"/>
        </dgm:presLayoutVars>
      </dgm:prSet>
      <dgm:spPr/>
      <dgm:t>
        <a:bodyPr/>
        <a:lstStyle/>
        <a:p>
          <a:endParaRPr lang="en-US"/>
        </a:p>
      </dgm:t>
    </dgm:pt>
    <dgm:pt modelId="{BD7B7583-5382-4443-8757-39072E6CA1F1}" type="pres">
      <dgm:prSet presAssocID="{B34118C3-8809-43CA-8801-3601B10874EE}" presName="sp" presStyleCnt="0"/>
      <dgm:spPr/>
    </dgm:pt>
    <dgm:pt modelId="{25EE2F5F-C6B7-4B4B-AB57-4A6B9B5CE6D4}" type="pres">
      <dgm:prSet presAssocID="{32D0864C-E86E-4285-B44F-C8EA314AB8F8}" presName="composite" presStyleCnt="0"/>
      <dgm:spPr/>
    </dgm:pt>
    <dgm:pt modelId="{4A001952-0F65-4D26-8FAC-6628770118CB}" type="pres">
      <dgm:prSet presAssocID="{32D0864C-E86E-4285-B44F-C8EA314AB8F8}" presName="parentText" presStyleLbl="alignNode1" presStyleIdx="6" presStyleCnt="7">
        <dgm:presLayoutVars>
          <dgm:chMax val="1"/>
          <dgm:bulletEnabled val="1"/>
        </dgm:presLayoutVars>
      </dgm:prSet>
      <dgm:spPr/>
      <dgm:t>
        <a:bodyPr/>
        <a:lstStyle/>
        <a:p>
          <a:endParaRPr lang="en-US"/>
        </a:p>
      </dgm:t>
    </dgm:pt>
    <dgm:pt modelId="{97F5D11F-770F-43D9-932E-1215C45B2CD3}" type="pres">
      <dgm:prSet presAssocID="{32D0864C-E86E-4285-B44F-C8EA314AB8F8}" presName="descendantText" presStyleLbl="alignAcc1" presStyleIdx="6" presStyleCnt="7">
        <dgm:presLayoutVars>
          <dgm:bulletEnabled val="1"/>
        </dgm:presLayoutVars>
      </dgm:prSet>
      <dgm:spPr/>
      <dgm:t>
        <a:bodyPr/>
        <a:lstStyle/>
        <a:p>
          <a:endParaRPr lang="en-US"/>
        </a:p>
      </dgm:t>
    </dgm:pt>
  </dgm:ptLst>
  <dgm:cxnLst>
    <dgm:cxn modelId="{511FDFE2-D04F-42B0-AAE0-AED71773E66D}" type="presOf" srcId="{935F4EE5-9B74-4753-8E86-9C7D69EB1E89}" destId="{D8B17E94-6C96-463B-9B6C-C7DC9D6411BD}" srcOrd="0" destOrd="0" presId="urn:microsoft.com/office/officeart/2005/8/layout/chevron2"/>
    <dgm:cxn modelId="{2841DE5B-6AAC-431E-B798-75F6C8966A21}" srcId="{16538D88-B6F6-4B8D-A3B2-6D0FFE0285DE}" destId="{BE498473-C92A-46A4-BE5A-F67E1B7DAE28}" srcOrd="2" destOrd="0" parTransId="{A14EE80B-A3BA-490A-A848-AF3B60797DCC}" sibTransId="{DF7169EB-B15D-4012-BF26-31B139060B0D}"/>
    <dgm:cxn modelId="{2D0F55CB-950A-42CF-959F-04FC960CFF1A}" type="presOf" srcId="{3F34A658-E2CC-4728-859E-682C9FD46B3B}" destId="{923C3079-9A61-44DB-89A1-1A94CD77B46C}" srcOrd="0" destOrd="2" presId="urn:microsoft.com/office/officeart/2005/8/layout/chevron2"/>
    <dgm:cxn modelId="{29F0C730-7141-4D1B-8A7A-FCE9FA1A1628}" srcId="{02DEC1FE-CC7B-4E31-8C78-0BB7A71C8DA3}" destId="{3F34A658-E2CC-4728-859E-682C9FD46B3B}" srcOrd="1" destOrd="0" parTransId="{E561061E-855A-479F-B94B-A233403FB981}" sibTransId="{E876495C-FC54-4707-A916-FC39E3C38DED}"/>
    <dgm:cxn modelId="{70591829-BCD4-441F-8B70-643BD6D4C8F2}" type="presOf" srcId="{32D0864C-E86E-4285-B44F-C8EA314AB8F8}" destId="{4A001952-0F65-4D26-8FAC-6628770118CB}" srcOrd="0" destOrd="0" presId="urn:microsoft.com/office/officeart/2005/8/layout/chevron2"/>
    <dgm:cxn modelId="{7748CC77-A3B7-4855-9F79-7D132E8526C2}" type="presOf" srcId="{BE498473-C92A-46A4-BE5A-F67E1B7DAE28}" destId="{E338EF67-4E24-4B13-AFF6-36E30FD69E6D}" srcOrd="0" destOrd="3" presId="urn:microsoft.com/office/officeart/2005/8/layout/chevron2"/>
    <dgm:cxn modelId="{CD799D96-9511-4D08-8FDA-72D10936A558}" type="presOf" srcId="{8B83EEDD-D62D-4749-95C5-7AD782D6809A}" destId="{CD39473A-EA82-4701-B90E-9FDEDC76AB48}" srcOrd="0" destOrd="0" presId="urn:microsoft.com/office/officeart/2005/8/layout/chevron2"/>
    <dgm:cxn modelId="{54B63451-1181-4EE2-AFA9-9DFD9F458638}" srcId="{076D663A-F397-489F-9EF6-E9F3D185794C}" destId="{98BD581A-14DC-4EF8-BCF9-B718016ED48B}" srcOrd="0" destOrd="0" parTransId="{337BA5E7-503A-4B04-8AA4-DD39C79E3E19}" sibTransId="{64300F76-32FC-487C-8C5B-24B2D6A461D8}"/>
    <dgm:cxn modelId="{33E45C8C-F70D-471B-B9B9-4A62BE63DAF5}" srcId="{16538D88-B6F6-4B8D-A3B2-6D0FFE0285DE}" destId="{AAD34415-5306-4173-B519-408F1CDD9741}" srcOrd="0" destOrd="0" parTransId="{D1633DB5-280D-4751-A3A7-C359F20A66EE}" sibTransId="{9E3C8129-A565-4411-809D-D394D671DE5C}"/>
    <dgm:cxn modelId="{229F2D8E-B56F-4936-BE40-82D724B6DCC0}" srcId="{C87F930D-3724-440F-B7D2-9AA1C27BAE34}" destId="{3E826F6B-96D3-4B92-8B70-BB9943740768}" srcOrd="0" destOrd="0" parTransId="{24564772-E99C-482A-BF53-0030AD0BE82F}" sibTransId="{2810F0EA-5D0F-4BC5-97D1-3E947D0FDAFA}"/>
    <dgm:cxn modelId="{9AF9924A-C951-4771-BF7D-286DBFC07296}" type="presOf" srcId="{C87F930D-3724-440F-B7D2-9AA1C27BAE34}" destId="{7306E7FE-AB38-43C5-93CC-4C67C81EEC37}" srcOrd="0" destOrd="0" presId="urn:microsoft.com/office/officeart/2005/8/layout/chevron2"/>
    <dgm:cxn modelId="{C0B08687-BCAB-45E5-94C4-9951DB37B865}" srcId="{1E201283-386A-4093-8D9D-F2B511F07385}" destId="{16538D88-B6F6-4B8D-A3B2-6D0FFE0285DE}" srcOrd="0" destOrd="0" parTransId="{5724252F-DD1B-4658-B133-5B9B7C235540}" sibTransId="{72B5A100-27A4-459B-8BAD-5F1330081180}"/>
    <dgm:cxn modelId="{C85E19AC-B591-453A-9141-E53B5FB8AD63}" type="presOf" srcId="{1E201283-386A-4093-8D9D-F2B511F07385}" destId="{48A97D5E-ADCA-4E5A-9AC9-C93CBD46AA44}" srcOrd="0" destOrd="0" presId="urn:microsoft.com/office/officeart/2005/8/layout/chevron2"/>
    <dgm:cxn modelId="{2DB536B4-F40C-4328-BD1C-221A97B6EFF1}" type="presOf" srcId="{076D663A-F397-489F-9EF6-E9F3D185794C}" destId="{4A8A59F1-128E-4E73-853E-7F16E82B5AB2}" srcOrd="0" destOrd="0" presId="urn:microsoft.com/office/officeart/2005/8/layout/chevron2"/>
    <dgm:cxn modelId="{536EE487-920B-466F-813F-A26CD8786E2E}" type="presOf" srcId="{6F47104E-3089-4082-9BD0-8C34DCE92CAC}" destId="{2028036E-7BC2-48C9-9F3F-0C4F67700929}" srcOrd="0" destOrd="0" presId="urn:microsoft.com/office/officeart/2005/8/layout/chevron2"/>
    <dgm:cxn modelId="{2E86C644-089E-4D96-8678-B43F61A7CEC3}" type="presOf" srcId="{7A784FB9-A346-4D67-B72D-8E5C13A05D83}" destId="{4A8A59F1-128E-4E73-853E-7F16E82B5AB2}" srcOrd="0" destOrd="3" presId="urn:microsoft.com/office/officeart/2005/8/layout/chevron2"/>
    <dgm:cxn modelId="{D7B36CAF-C94D-4D58-A258-23F6D1029BB1}" srcId="{02DEC1FE-CC7B-4E31-8C78-0BB7A71C8DA3}" destId="{1E5B7F07-E7D8-40BB-B5E7-73E0F4B12446}" srcOrd="0" destOrd="0" parTransId="{929AC0E4-08A7-4D52-82F2-F5376BF73476}" sibTransId="{95547C0F-45FC-4C3A-9A48-4CFA4327DC73}"/>
    <dgm:cxn modelId="{0AAF54F8-304D-4393-8649-AA453D8B6EBF}" type="presOf" srcId="{3E826F6B-96D3-4B92-8B70-BB9943740768}" destId="{C3786337-6B6C-4680-8D19-634C429F13A2}" srcOrd="0" destOrd="0" presId="urn:microsoft.com/office/officeart/2005/8/layout/chevron2"/>
    <dgm:cxn modelId="{6E690FF9-5412-4DBE-AB1B-56BC92F9487C}" srcId="{F07D4F5A-3A85-48E0-95DC-1790A0AD873E}" destId="{7A784FB9-A346-4D67-B72D-8E5C13A05D83}" srcOrd="1" destOrd="0" parTransId="{7082DA3A-4BEA-45B1-8DD1-2E8BFB0E0BAE}" sibTransId="{F11C2B45-8B3B-43B6-83CF-A661C8A100DB}"/>
    <dgm:cxn modelId="{DC49605C-A4DC-463A-BE89-5B49C367025F}" srcId="{94766B65-5B27-4EE5-B6E1-DA6E2FFFE39B}" destId="{02DEC1FE-CC7B-4E31-8C78-0BB7A71C8DA3}" srcOrd="0" destOrd="0" parTransId="{D24F0CE9-DEC9-4165-A869-850E0647D6CC}" sibTransId="{88A743C6-C096-4B69-AA26-25A83A79390E}"/>
    <dgm:cxn modelId="{0BD55C94-3E95-414E-800D-C8B4F7905B45}" type="presOf" srcId="{AAD34415-5306-4173-B519-408F1CDD9741}" destId="{E338EF67-4E24-4B13-AFF6-36E30FD69E6D}" srcOrd="0" destOrd="1" presId="urn:microsoft.com/office/officeart/2005/8/layout/chevron2"/>
    <dgm:cxn modelId="{CBC55996-241F-4FDC-82FD-13CDFF1A7C5B}" type="presOf" srcId="{3A88D1E7-ABF4-4FC1-9F85-19ED1269D922}" destId="{A4ABE861-6EBB-49D7-98FE-DC2A174DEBEB}" srcOrd="0" destOrd="0" presId="urn:microsoft.com/office/officeart/2005/8/layout/chevron2"/>
    <dgm:cxn modelId="{F62B0B14-2D97-45D6-A238-AE666EC18982}" type="presOf" srcId="{1E5B7F07-E7D8-40BB-B5E7-73E0F4B12446}" destId="{923C3079-9A61-44DB-89A1-1A94CD77B46C}" srcOrd="0" destOrd="1" presId="urn:microsoft.com/office/officeart/2005/8/layout/chevron2"/>
    <dgm:cxn modelId="{DC7B262F-DC47-4E5B-8A9A-357E5B5FB774}" srcId="{076D663A-F397-489F-9EF6-E9F3D185794C}" destId="{54659DEA-CE90-4CCD-8487-FB62945D4CF4}" srcOrd="1" destOrd="0" parTransId="{FC12E8D3-5D91-45C6-948A-095572A68D73}" sibTransId="{9201C053-138D-4D67-A7C7-0854BFD15F4D}"/>
    <dgm:cxn modelId="{E30951E2-90D1-490C-B5AB-7CB29F99BC94}" srcId="{935F4EE5-9B74-4753-8E86-9C7D69EB1E89}" destId="{94766B65-5B27-4EE5-B6E1-DA6E2FFFE39B}" srcOrd="4" destOrd="0" parTransId="{DA8890C2-DCC2-494F-B3B3-8D78052F255B}" sibTransId="{F2DF40AC-454E-4FE3-99A6-8481D8FEC6D1}"/>
    <dgm:cxn modelId="{CEA00581-4ECE-45FD-8B6E-65C841456548}" srcId="{512C5113-5B4D-4D3B-80AD-69A9A463AB7A}" destId="{6F47104E-3089-4082-9BD0-8C34DCE92CAC}" srcOrd="0" destOrd="0" parTransId="{5CC5D136-9159-46F5-9BEF-EDB55F4EE1C2}" sibTransId="{B624F0B2-46C8-43B2-80B7-2530C489D928}"/>
    <dgm:cxn modelId="{842949BF-8CCD-4D1C-BF8B-93FA13D5D340}" type="presOf" srcId="{512C5113-5B4D-4D3B-80AD-69A9A463AB7A}" destId="{E2BDF40F-C458-4100-BA54-DFDCBCB2F7C2}" srcOrd="0" destOrd="0" presId="urn:microsoft.com/office/officeart/2005/8/layout/chevron2"/>
    <dgm:cxn modelId="{7E216511-CA75-4917-B656-0D127A69068E}" type="presOf" srcId="{54659DEA-CE90-4CCD-8487-FB62945D4CF4}" destId="{4A8A59F1-128E-4E73-853E-7F16E82B5AB2}" srcOrd="0" destOrd="2" presId="urn:microsoft.com/office/officeart/2005/8/layout/chevron2"/>
    <dgm:cxn modelId="{CE88A722-5750-4D83-BAC3-53EA11823334}" srcId="{935F4EE5-9B74-4753-8E86-9C7D69EB1E89}" destId="{3A88D1E7-ABF4-4FC1-9F85-19ED1269D922}" srcOrd="1" destOrd="0" parTransId="{BC92AC15-29C1-483A-B4A1-B90762812DAD}" sibTransId="{B250CDCA-393A-49CE-A90B-E83729A7FBB0}"/>
    <dgm:cxn modelId="{64D1B3BC-D073-4561-A2C9-3DA5B94D6910}" srcId="{935F4EE5-9B74-4753-8E86-9C7D69EB1E89}" destId="{F07D4F5A-3A85-48E0-95DC-1790A0AD873E}" srcOrd="3" destOrd="0" parTransId="{0DD86199-393A-4660-9F56-BAD60E97B769}" sibTransId="{601CD2DF-4465-4166-B9DD-021DD5C0E516}"/>
    <dgm:cxn modelId="{B34D7B97-5D3C-4753-AC90-D0764CAABA50}" type="presOf" srcId="{665C38E1-EFC6-4371-BCF6-BBDBA2C75EDB}" destId="{E338EF67-4E24-4B13-AFF6-36E30FD69E6D}" srcOrd="0" destOrd="2" presId="urn:microsoft.com/office/officeart/2005/8/layout/chevron2"/>
    <dgm:cxn modelId="{7AFFE7D2-3A65-462C-90D9-642EB98C9412}" srcId="{935F4EE5-9B74-4753-8E86-9C7D69EB1E89}" destId="{512C5113-5B4D-4D3B-80AD-69A9A463AB7A}" srcOrd="2" destOrd="0" parTransId="{F2EE1467-5B9B-4F21-906A-D4AC2762522D}" sibTransId="{A4088791-FF76-4E09-BCCB-054E3C7754A9}"/>
    <dgm:cxn modelId="{831EF8D0-94C3-437C-B4ED-8007936B2587}" srcId="{F07D4F5A-3A85-48E0-95DC-1790A0AD873E}" destId="{076D663A-F397-489F-9EF6-E9F3D185794C}" srcOrd="0" destOrd="0" parTransId="{4034E6C7-8DAC-4F8E-9F06-85B088BEA8AE}" sibTransId="{8445DFF7-EC85-41C3-9562-356289E4792F}"/>
    <dgm:cxn modelId="{D2EF37B2-0833-4371-9892-4A94ED13511A}" type="presOf" srcId="{94766B65-5B27-4EE5-B6E1-DA6E2FFFE39B}" destId="{AEF0FD2B-2FB7-49F9-BEBC-8536080346B3}" srcOrd="0" destOrd="0" presId="urn:microsoft.com/office/officeart/2005/8/layout/chevron2"/>
    <dgm:cxn modelId="{F2CF2FEC-8087-48AB-81E3-97B03954476F}" type="presOf" srcId="{1BB921DE-2567-4E6D-99F1-A34A84801209}" destId="{97F5D11F-770F-43D9-932E-1215C45B2CD3}" srcOrd="0" destOrd="0" presId="urn:microsoft.com/office/officeart/2005/8/layout/chevron2"/>
    <dgm:cxn modelId="{DAEFE21C-75D5-4AF5-8077-727629C3B926}" type="presOf" srcId="{16538D88-B6F6-4B8D-A3B2-6D0FFE0285DE}" destId="{E338EF67-4E24-4B13-AFF6-36E30FD69E6D}" srcOrd="0" destOrd="0" presId="urn:microsoft.com/office/officeart/2005/8/layout/chevron2"/>
    <dgm:cxn modelId="{6B710FD3-EA5C-4422-989D-EDACA904162C}" srcId="{02DEC1FE-CC7B-4E31-8C78-0BB7A71C8DA3}" destId="{20D24858-C644-40DF-A6B0-14705BCD8182}" srcOrd="2" destOrd="0" parTransId="{FCD8E987-F9BC-4041-A0F5-75139C9B6705}" sibTransId="{6460E392-7656-458F-8B57-EC726F82013B}"/>
    <dgm:cxn modelId="{28EA7623-7703-47E0-973C-B9FFB0A45578}" srcId="{32D0864C-E86E-4285-B44F-C8EA314AB8F8}" destId="{1BB921DE-2567-4E6D-99F1-A34A84801209}" srcOrd="0" destOrd="0" parTransId="{215DB216-51FE-4A9F-82C7-0A2CFFE6F8F4}" sibTransId="{E86F2624-4C77-4558-97C7-733E414BB812}"/>
    <dgm:cxn modelId="{A36E5855-468B-482F-BCBB-76B5B70DCF81}" srcId="{935F4EE5-9B74-4753-8E86-9C7D69EB1E89}" destId="{1E201283-386A-4093-8D9D-F2B511F07385}" srcOrd="5" destOrd="0" parTransId="{27327BF3-C134-4282-822C-DCF5FEB4C82A}" sibTransId="{B34118C3-8809-43CA-8801-3601B10874EE}"/>
    <dgm:cxn modelId="{F11047DE-E330-4EA4-A39A-9CCEA350E536}" srcId="{3A88D1E7-ABF4-4FC1-9F85-19ED1269D922}" destId="{8B83EEDD-D62D-4749-95C5-7AD782D6809A}" srcOrd="0" destOrd="0" parTransId="{92B1FDEE-E4F8-40D8-92B5-853AC8B6A7E9}" sibTransId="{C79D18D8-13C4-4337-A553-81B1A090F42A}"/>
    <dgm:cxn modelId="{264D8DA0-AC69-44F7-8B53-B1C19ABEE899}" type="presOf" srcId="{20D24858-C644-40DF-A6B0-14705BCD8182}" destId="{923C3079-9A61-44DB-89A1-1A94CD77B46C}" srcOrd="0" destOrd="3" presId="urn:microsoft.com/office/officeart/2005/8/layout/chevron2"/>
    <dgm:cxn modelId="{5593ACD4-036B-44E9-89AA-2B3B387FEF38}" type="presOf" srcId="{98BD581A-14DC-4EF8-BCF9-B718016ED48B}" destId="{4A8A59F1-128E-4E73-853E-7F16E82B5AB2}" srcOrd="0" destOrd="1" presId="urn:microsoft.com/office/officeart/2005/8/layout/chevron2"/>
    <dgm:cxn modelId="{F2DBDAFE-C74E-4700-956C-FDA8E76E30A8}" type="presOf" srcId="{F07D4F5A-3A85-48E0-95DC-1790A0AD873E}" destId="{CA18541F-E0C7-49C7-99CA-C025927C3FDB}" srcOrd="0" destOrd="0" presId="urn:microsoft.com/office/officeart/2005/8/layout/chevron2"/>
    <dgm:cxn modelId="{3680593D-783F-4F8F-9BCE-D5B854C260E0}" srcId="{935F4EE5-9B74-4753-8E86-9C7D69EB1E89}" destId="{C87F930D-3724-440F-B7D2-9AA1C27BAE34}" srcOrd="0" destOrd="0" parTransId="{7FE9E55B-2633-47ED-9041-8D010EF2CC18}" sibTransId="{5EE5F712-05BD-4017-85AD-AAF3D5B1538B}"/>
    <dgm:cxn modelId="{4EA639C2-6991-4B20-9768-D464AAA3E5CB}" type="presOf" srcId="{02DEC1FE-CC7B-4E31-8C78-0BB7A71C8DA3}" destId="{923C3079-9A61-44DB-89A1-1A94CD77B46C}" srcOrd="0" destOrd="0" presId="urn:microsoft.com/office/officeart/2005/8/layout/chevron2"/>
    <dgm:cxn modelId="{CB34DE73-0EAC-47AB-8397-C2AF0C6949DB}" srcId="{16538D88-B6F6-4B8D-A3B2-6D0FFE0285DE}" destId="{665C38E1-EFC6-4371-BCF6-BBDBA2C75EDB}" srcOrd="1" destOrd="0" parTransId="{338682BB-EBE4-49E5-A84D-128CB0277287}" sibTransId="{74ED6474-E3C2-45FC-AF17-E6DA6F1E6EF4}"/>
    <dgm:cxn modelId="{872D4B7B-12AA-49D3-8133-DBDA24CE814C}" srcId="{935F4EE5-9B74-4753-8E86-9C7D69EB1E89}" destId="{32D0864C-E86E-4285-B44F-C8EA314AB8F8}" srcOrd="6" destOrd="0" parTransId="{EC1F8826-F0ED-4ADB-9A80-1F45F7725C3F}" sibTransId="{FC9251E6-0AD0-40DB-97F1-788B83EDFE98}"/>
    <dgm:cxn modelId="{CD027065-50A8-4EB9-A7E8-48F83463E624}" type="presParOf" srcId="{D8B17E94-6C96-463B-9B6C-C7DC9D6411BD}" destId="{1506A3B5-93F7-4EA9-A82E-8FA5825183D7}" srcOrd="0" destOrd="0" presId="urn:microsoft.com/office/officeart/2005/8/layout/chevron2"/>
    <dgm:cxn modelId="{428ED361-DF95-4172-BAFE-F76DE513A054}" type="presParOf" srcId="{1506A3B5-93F7-4EA9-A82E-8FA5825183D7}" destId="{7306E7FE-AB38-43C5-93CC-4C67C81EEC37}" srcOrd="0" destOrd="0" presId="urn:microsoft.com/office/officeart/2005/8/layout/chevron2"/>
    <dgm:cxn modelId="{D891E77E-2B94-479B-BB90-CBD1CF030BA7}" type="presParOf" srcId="{1506A3B5-93F7-4EA9-A82E-8FA5825183D7}" destId="{C3786337-6B6C-4680-8D19-634C429F13A2}" srcOrd="1" destOrd="0" presId="urn:microsoft.com/office/officeart/2005/8/layout/chevron2"/>
    <dgm:cxn modelId="{07E84641-350F-482D-B769-47A827A0FD2D}" type="presParOf" srcId="{D8B17E94-6C96-463B-9B6C-C7DC9D6411BD}" destId="{DBD8A728-9DC4-47E5-98CC-3D26FD878B2F}" srcOrd="1" destOrd="0" presId="urn:microsoft.com/office/officeart/2005/8/layout/chevron2"/>
    <dgm:cxn modelId="{4F9A40D5-03C2-4A10-9566-E29ED309F4EC}" type="presParOf" srcId="{D8B17E94-6C96-463B-9B6C-C7DC9D6411BD}" destId="{4AE01708-D545-488D-8D5A-B274901C06C5}" srcOrd="2" destOrd="0" presId="urn:microsoft.com/office/officeart/2005/8/layout/chevron2"/>
    <dgm:cxn modelId="{50F883FB-FBE4-4748-BB53-0A2AD5BBFC20}" type="presParOf" srcId="{4AE01708-D545-488D-8D5A-B274901C06C5}" destId="{A4ABE861-6EBB-49D7-98FE-DC2A174DEBEB}" srcOrd="0" destOrd="0" presId="urn:microsoft.com/office/officeart/2005/8/layout/chevron2"/>
    <dgm:cxn modelId="{78F56342-A781-4DE9-90A3-0F9DF7D6EC7C}" type="presParOf" srcId="{4AE01708-D545-488D-8D5A-B274901C06C5}" destId="{CD39473A-EA82-4701-B90E-9FDEDC76AB48}" srcOrd="1" destOrd="0" presId="urn:microsoft.com/office/officeart/2005/8/layout/chevron2"/>
    <dgm:cxn modelId="{4A16BC2E-0D49-411E-AF1F-A5B590EBF1E4}" type="presParOf" srcId="{D8B17E94-6C96-463B-9B6C-C7DC9D6411BD}" destId="{447533D0-1FC6-4E13-A420-99D97B122182}" srcOrd="3" destOrd="0" presId="urn:microsoft.com/office/officeart/2005/8/layout/chevron2"/>
    <dgm:cxn modelId="{18D48034-7185-4F92-A2E9-D723A2EB792F}" type="presParOf" srcId="{D8B17E94-6C96-463B-9B6C-C7DC9D6411BD}" destId="{8F2B0B1A-5116-4D96-9FA4-7CE8CB13A95E}" srcOrd="4" destOrd="0" presId="urn:microsoft.com/office/officeart/2005/8/layout/chevron2"/>
    <dgm:cxn modelId="{CFAEDF50-EDFA-492F-A1B5-CBF518E7D213}" type="presParOf" srcId="{8F2B0B1A-5116-4D96-9FA4-7CE8CB13A95E}" destId="{E2BDF40F-C458-4100-BA54-DFDCBCB2F7C2}" srcOrd="0" destOrd="0" presId="urn:microsoft.com/office/officeart/2005/8/layout/chevron2"/>
    <dgm:cxn modelId="{0ABAC63F-F8FB-478F-91E3-9FCA8DFDA69C}" type="presParOf" srcId="{8F2B0B1A-5116-4D96-9FA4-7CE8CB13A95E}" destId="{2028036E-7BC2-48C9-9F3F-0C4F67700929}" srcOrd="1" destOrd="0" presId="urn:microsoft.com/office/officeart/2005/8/layout/chevron2"/>
    <dgm:cxn modelId="{A5EB58F6-0584-408E-A863-145A6FE7603E}" type="presParOf" srcId="{D8B17E94-6C96-463B-9B6C-C7DC9D6411BD}" destId="{216FA839-2DAB-4EBC-BCA2-C84C45DEB28F}" srcOrd="5" destOrd="0" presId="urn:microsoft.com/office/officeart/2005/8/layout/chevron2"/>
    <dgm:cxn modelId="{4775B54C-613A-4229-A2D5-3F0769C8F29E}" type="presParOf" srcId="{D8B17E94-6C96-463B-9B6C-C7DC9D6411BD}" destId="{EDEB5577-617A-4932-A46D-039C793A7F18}" srcOrd="6" destOrd="0" presId="urn:microsoft.com/office/officeart/2005/8/layout/chevron2"/>
    <dgm:cxn modelId="{382CB44E-1E13-41B6-A0D9-0C3D38F633B1}" type="presParOf" srcId="{EDEB5577-617A-4932-A46D-039C793A7F18}" destId="{CA18541F-E0C7-49C7-99CA-C025927C3FDB}" srcOrd="0" destOrd="0" presId="urn:microsoft.com/office/officeart/2005/8/layout/chevron2"/>
    <dgm:cxn modelId="{FBFFF6AC-9829-49E6-A76C-A1C069ADFC0C}" type="presParOf" srcId="{EDEB5577-617A-4932-A46D-039C793A7F18}" destId="{4A8A59F1-128E-4E73-853E-7F16E82B5AB2}" srcOrd="1" destOrd="0" presId="urn:microsoft.com/office/officeart/2005/8/layout/chevron2"/>
    <dgm:cxn modelId="{22FC350C-B816-4817-A358-1AC014A89D18}" type="presParOf" srcId="{D8B17E94-6C96-463B-9B6C-C7DC9D6411BD}" destId="{F5DFAFE9-5BB5-4DDD-AC23-4790CD71C930}" srcOrd="7" destOrd="0" presId="urn:microsoft.com/office/officeart/2005/8/layout/chevron2"/>
    <dgm:cxn modelId="{94AFE31A-94B5-4F0F-AEB7-2650F615D539}" type="presParOf" srcId="{D8B17E94-6C96-463B-9B6C-C7DC9D6411BD}" destId="{82A96BBA-A831-4CBE-AC18-E712B7297D23}" srcOrd="8" destOrd="0" presId="urn:microsoft.com/office/officeart/2005/8/layout/chevron2"/>
    <dgm:cxn modelId="{0B3C628E-56F0-4599-A649-7D8D7FFA22D9}" type="presParOf" srcId="{82A96BBA-A831-4CBE-AC18-E712B7297D23}" destId="{AEF0FD2B-2FB7-49F9-BEBC-8536080346B3}" srcOrd="0" destOrd="0" presId="urn:microsoft.com/office/officeart/2005/8/layout/chevron2"/>
    <dgm:cxn modelId="{712B7506-AC3E-418B-AB93-8CE80D40BFFE}" type="presParOf" srcId="{82A96BBA-A831-4CBE-AC18-E712B7297D23}" destId="{923C3079-9A61-44DB-89A1-1A94CD77B46C}" srcOrd="1" destOrd="0" presId="urn:microsoft.com/office/officeart/2005/8/layout/chevron2"/>
    <dgm:cxn modelId="{E8878977-C953-48CD-87E3-68FDBA1249F4}" type="presParOf" srcId="{D8B17E94-6C96-463B-9B6C-C7DC9D6411BD}" destId="{974DE73B-4261-4E85-8AE3-B326275DEFC7}" srcOrd="9" destOrd="0" presId="urn:microsoft.com/office/officeart/2005/8/layout/chevron2"/>
    <dgm:cxn modelId="{FFC3C651-3256-4B40-A8BB-4AA6D653948E}" type="presParOf" srcId="{D8B17E94-6C96-463B-9B6C-C7DC9D6411BD}" destId="{834504BF-6C0F-4CDC-BECB-F93C20F9C33A}" srcOrd="10" destOrd="0" presId="urn:microsoft.com/office/officeart/2005/8/layout/chevron2"/>
    <dgm:cxn modelId="{8277F7EE-F75A-4F3D-A0BD-A463079860A7}" type="presParOf" srcId="{834504BF-6C0F-4CDC-BECB-F93C20F9C33A}" destId="{48A97D5E-ADCA-4E5A-9AC9-C93CBD46AA44}" srcOrd="0" destOrd="0" presId="urn:microsoft.com/office/officeart/2005/8/layout/chevron2"/>
    <dgm:cxn modelId="{B3EFCDF9-21C0-4407-8CEF-7715D4CBA8C7}" type="presParOf" srcId="{834504BF-6C0F-4CDC-BECB-F93C20F9C33A}" destId="{E338EF67-4E24-4B13-AFF6-36E30FD69E6D}" srcOrd="1" destOrd="0" presId="urn:microsoft.com/office/officeart/2005/8/layout/chevron2"/>
    <dgm:cxn modelId="{03C6EC55-0FE1-4738-BF36-01E5BF1F384E}" type="presParOf" srcId="{D8B17E94-6C96-463B-9B6C-C7DC9D6411BD}" destId="{BD7B7583-5382-4443-8757-39072E6CA1F1}" srcOrd="11" destOrd="0" presId="urn:microsoft.com/office/officeart/2005/8/layout/chevron2"/>
    <dgm:cxn modelId="{7A6C1FA8-115B-409F-B176-E20DAD4C86D4}" type="presParOf" srcId="{D8B17E94-6C96-463B-9B6C-C7DC9D6411BD}" destId="{25EE2F5F-C6B7-4B4B-AB57-4A6B9B5CE6D4}" srcOrd="12" destOrd="0" presId="urn:microsoft.com/office/officeart/2005/8/layout/chevron2"/>
    <dgm:cxn modelId="{C511BF46-6CD7-402F-946F-EEF240508D3A}" type="presParOf" srcId="{25EE2F5F-C6B7-4B4B-AB57-4A6B9B5CE6D4}" destId="{4A001952-0F65-4D26-8FAC-6628770118CB}" srcOrd="0" destOrd="0" presId="urn:microsoft.com/office/officeart/2005/8/layout/chevron2"/>
    <dgm:cxn modelId="{FC490A8D-74F5-4F3B-81C0-FDDD21D4CC1B}" type="presParOf" srcId="{25EE2F5F-C6B7-4B4B-AB57-4A6B9B5CE6D4}" destId="{97F5D11F-770F-43D9-932E-1215C45B2CD3}" srcOrd="1" destOrd="0" presId="urn:microsoft.com/office/officeart/2005/8/layout/chevron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306E7FE-AB38-43C5-93CC-4C67C81EEC37}">
      <dsp:nvSpPr>
        <dsp:cNvPr id="0" name=""/>
        <dsp:cNvSpPr/>
      </dsp:nvSpPr>
      <dsp:spPr>
        <a:xfrm rot="5400000">
          <a:off x="-177257" y="202136"/>
          <a:ext cx="1181716" cy="827201"/>
        </a:xfrm>
        <a:prstGeom prst="chevron">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91440" rIns="10160" bIns="10160" numCol="1" spcCol="1270" anchor="ctr" anchorCtr="0">
          <a:noAutofit/>
        </a:bodyPr>
        <a:lstStyle/>
        <a:p>
          <a:pPr lvl="0" algn="ctr" defTabSz="711200">
            <a:lnSpc>
              <a:spcPct val="90000"/>
            </a:lnSpc>
            <a:spcBef>
              <a:spcPct val="0"/>
            </a:spcBef>
            <a:spcAft>
              <a:spcPts val="0"/>
            </a:spcAft>
          </a:pPr>
          <a:r>
            <a:rPr lang="en-US" sz="1600" kern="1200"/>
            <a:t>Fall term</a:t>
          </a:r>
        </a:p>
        <a:p>
          <a:pPr lvl="0" algn="ctr" defTabSz="711200">
            <a:lnSpc>
              <a:spcPct val="90000"/>
            </a:lnSpc>
            <a:spcBef>
              <a:spcPct val="0"/>
            </a:spcBef>
            <a:spcAft>
              <a:spcPts val="0"/>
            </a:spcAft>
          </a:pPr>
          <a:r>
            <a:rPr lang="en-US" sz="1600" kern="1200"/>
            <a:t>2021</a:t>
          </a:r>
        </a:p>
      </dsp:txBody>
      <dsp:txXfrm rot="-5400000">
        <a:off x="1" y="438480"/>
        <a:ext cx="827201" cy="354515"/>
      </dsp:txXfrm>
    </dsp:sp>
    <dsp:sp modelId="{C3786337-6B6C-4680-8D19-634C429F13A2}">
      <dsp:nvSpPr>
        <dsp:cNvPr id="0" name=""/>
        <dsp:cNvSpPr/>
      </dsp:nvSpPr>
      <dsp:spPr>
        <a:xfrm rot="5400000">
          <a:off x="3482153" y="-2630072"/>
          <a:ext cx="768519" cy="6078423"/>
        </a:xfrm>
        <a:prstGeom prst="round2SameRect">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solidFill>
                <a:schemeClr val="tx1"/>
              </a:solidFill>
            </a:rPr>
            <a:t>TFAB meetings are held throughout the fall to provide critical information and training on current and historical UO budget information, projected cost increases, historical and comparative tuition and fee rates, the Public University Support Fund (PUSF), cost management plans, enrollment trends, updated UO financials, and other financial issues.</a:t>
          </a:r>
        </a:p>
      </dsp:txBody>
      <dsp:txXfrm rot="-5400000">
        <a:off x="827201" y="62396"/>
        <a:ext cx="6040907" cy="693487"/>
      </dsp:txXfrm>
    </dsp:sp>
    <dsp:sp modelId="{A4ABE861-6EBB-49D7-98FE-DC2A174DEBEB}">
      <dsp:nvSpPr>
        <dsp:cNvPr id="0" name=""/>
        <dsp:cNvSpPr/>
      </dsp:nvSpPr>
      <dsp:spPr>
        <a:xfrm rot="5400000">
          <a:off x="-177257" y="1304546"/>
          <a:ext cx="1181716" cy="827201"/>
        </a:xfrm>
        <a:prstGeom prst="chevron">
          <a:avLst/>
        </a:prstGeom>
        <a:solidFill>
          <a:schemeClr val="accent5">
            <a:hueOff val="-1225557"/>
            <a:satOff val="-1705"/>
            <a:lumOff val="-654"/>
            <a:alphaOff val="0"/>
          </a:schemeClr>
        </a:solidFill>
        <a:ln w="12700" cap="flat" cmpd="sng" algn="ctr">
          <a:solidFill>
            <a:schemeClr val="accent5">
              <a:hueOff val="-1225557"/>
              <a:satOff val="-1705"/>
              <a:lumOff val="-654"/>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182880" rIns="8890" bIns="8890" numCol="1" spcCol="1270" anchor="ctr" anchorCtr="0">
          <a:noAutofit/>
        </a:bodyPr>
        <a:lstStyle/>
        <a:p>
          <a:pPr lvl="0" algn="ctr" defTabSz="622300">
            <a:lnSpc>
              <a:spcPct val="90000"/>
            </a:lnSpc>
            <a:spcBef>
              <a:spcPct val="0"/>
            </a:spcBef>
            <a:spcAft>
              <a:spcPts val="0"/>
            </a:spcAft>
          </a:pPr>
          <a:r>
            <a:rPr lang="en-US" sz="1400" kern="1200"/>
            <a:t>January 2022</a:t>
          </a:r>
        </a:p>
      </dsp:txBody>
      <dsp:txXfrm rot="-5400000">
        <a:off x="1" y="1540890"/>
        <a:ext cx="827201" cy="354515"/>
      </dsp:txXfrm>
    </dsp:sp>
    <dsp:sp modelId="{CD39473A-EA82-4701-B90E-9FDEDC76AB48}">
      <dsp:nvSpPr>
        <dsp:cNvPr id="0" name=""/>
        <dsp:cNvSpPr/>
      </dsp:nvSpPr>
      <dsp:spPr>
        <a:xfrm rot="5400000">
          <a:off x="3482355" y="-1527864"/>
          <a:ext cx="768115" cy="6078423"/>
        </a:xfrm>
        <a:prstGeom prst="round2SameRect">
          <a:avLst/>
        </a:prstGeom>
        <a:solidFill>
          <a:schemeClr val="lt1">
            <a:alpha val="90000"/>
            <a:hueOff val="0"/>
            <a:satOff val="0"/>
            <a:lumOff val="0"/>
            <a:alphaOff val="0"/>
          </a:schemeClr>
        </a:solidFill>
        <a:ln w="12700" cap="flat" cmpd="sng" algn="ctr">
          <a:solidFill>
            <a:schemeClr val="accent5">
              <a:hueOff val="-1225557"/>
              <a:satOff val="-1705"/>
              <a:lumOff val="-654"/>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solidFill>
                <a:schemeClr val="tx1"/>
              </a:solidFill>
            </a:rPr>
            <a:t>TFAB, in collaboration with the ASUO, organizes a public student forum to share information related to the university's budget and to solicit feedback and ideas from students. This is an important way for TFAB to gain student input before developing recommendations.</a:t>
          </a:r>
        </a:p>
      </dsp:txBody>
      <dsp:txXfrm rot="-5400000">
        <a:off x="827201" y="1164786"/>
        <a:ext cx="6040927" cy="693123"/>
      </dsp:txXfrm>
    </dsp:sp>
    <dsp:sp modelId="{E2BDF40F-C458-4100-BA54-DFDCBCB2F7C2}">
      <dsp:nvSpPr>
        <dsp:cNvPr id="0" name=""/>
        <dsp:cNvSpPr/>
      </dsp:nvSpPr>
      <dsp:spPr>
        <a:xfrm rot="5400000">
          <a:off x="-177257" y="2451089"/>
          <a:ext cx="1181716" cy="827201"/>
        </a:xfrm>
        <a:prstGeom prst="chevron">
          <a:avLst/>
        </a:prstGeom>
        <a:solidFill>
          <a:schemeClr val="accent5">
            <a:hueOff val="-2451115"/>
            <a:satOff val="-3409"/>
            <a:lumOff val="-1307"/>
            <a:alphaOff val="0"/>
          </a:schemeClr>
        </a:solidFill>
        <a:ln w="12700" cap="flat" cmpd="sng" algn="ctr">
          <a:solidFill>
            <a:schemeClr val="accent5">
              <a:hueOff val="-2451115"/>
              <a:satOff val="-3409"/>
              <a:lumOff val="-1307"/>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274320" rIns="8890" bIns="8890" numCol="1" spcCol="1270" anchor="ctr" anchorCtr="0">
          <a:noAutofit/>
        </a:bodyPr>
        <a:lstStyle/>
        <a:p>
          <a:pPr lvl="0" algn="ctr" defTabSz="622300">
            <a:lnSpc>
              <a:spcPct val="90000"/>
            </a:lnSpc>
            <a:spcBef>
              <a:spcPct val="0"/>
            </a:spcBef>
            <a:spcAft>
              <a:spcPct val="35000"/>
            </a:spcAft>
          </a:pPr>
          <a:r>
            <a:rPr lang="en-US" sz="1400" kern="1200"/>
            <a:t>Weeks 1-5 of winter term</a:t>
          </a:r>
        </a:p>
      </dsp:txBody>
      <dsp:txXfrm rot="-5400000">
        <a:off x="1" y="2687433"/>
        <a:ext cx="827201" cy="354515"/>
      </dsp:txXfrm>
    </dsp:sp>
    <dsp:sp modelId="{2028036E-7BC2-48C9-9F3F-0C4F67700929}">
      <dsp:nvSpPr>
        <dsp:cNvPr id="0" name=""/>
        <dsp:cNvSpPr/>
      </dsp:nvSpPr>
      <dsp:spPr>
        <a:xfrm rot="5400000">
          <a:off x="3438223" y="-381322"/>
          <a:ext cx="856380" cy="6078423"/>
        </a:xfrm>
        <a:prstGeom prst="round2SameRect">
          <a:avLst/>
        </a:prstGeom>
        <a:solidFill>
          <a:schemeClr val="lt1">
            <a:alpha val="90000"/>
            <a:hueOff val="0"/>
            <a:satOff val="0"/>
            <a:lumOff val="0"/>
            <a:alphaOff val="0"/>
          </a:schemeClr>
        </a:solidFill>
        <a:ln w="12700" cap="flat" cmpd="sng" algn="ctr">
          <a:solidFill>
            <a:schemeClr val="accent5">
              <a:hueOff val="-2451115"/>
              <a:satOff val="-3409"/>
              <a:lumOff val="-1307"/>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solidFill>
                <a:schemeClr val="tx1"/>
              </a:solidFill>
            </a:rPr>
            <a:t>TFAB meets regularly to review proposals for graduate tuition, mandatory fees, non-mandatory fees (such as housing costs and course fees), and the structure of tuition (including, for example, differential tuition levels or comprehensive graduate program rates).  TFAB also develops recommendations for the tuition rates for the incoming cohort of undergraduate students.</a:t>
          </a:r>
        </a:p>
      </dsp:txBody>
      <dsp:txXfrm rot="-5400000">
        <a:off x="827202" y="2271504"/>
        <a:ext cx="6036618" cy="772770"/>
      </dsp:txXfrm>
    </dsp:sp>
    <dsp:sp modelId="{CA18541F-E0C7-49C7-99CA-C025927C3FDB}">
      <dsp:nvSpPr>
        <dsp:cNvPr id="0" name=""/>
        <dsp:cNvSpPr/>
      </dsp:nvSpPr>
      <dsp:spPr>
        <a:xfrm rot="5400000">
          <a:off x="-177257" y="3645381"/>
          <a:ext cx="1181716" cy="827201"/>
        </a:xfrm>
        <a:prstGeom prst="chevron">
          <a:avLst/>
        </a:prstGeom>
        <a:solidFill>
          <a:schemeClr val="accent5">
            <a:hueOff val="-3676672"/>
            <a:satOff val="-5114"/>
            <a:lumOff val="-1961"/>
            <a:alphaOff val="0"/>
          </a:schemeClr>
        </a:solidFill>
        <a:ln w="12700" cap="flat" cmpd="sng" algn="ctr">
          <a:solidFill>
            <a:schemeClr val="accent5">
              <a:hueOff val="-3676672"/>
              <a:satOff val="-5114"/>
              <a:lumOff val="-1961"/>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91440" rIns="8890" bIns="8890" numCol="1" spcCol="1270" anchor="ctr" anchorCtr="0">
          <a:noAutofit/>
        </a:bodyPr>
        <a:lstStyle/>
        <a:p>
          <a:pPr lvl="0" algn="ctr" defTabSz="622300">
            <a:lnSpc>
              <a:spcPct val="90000"/>
            </a:lnSpc>
            <a:spcBef>
              <a:spcPct val="0"/>
            </a:spcBef>
            <a:spcAft>
              <a:spcPct val="35000"/>
            </a:spcAft>
          </a:pPr>
          <a:r>
            <a:rPr lang="en-US" sz="1400" kern="1200"/>
            <a:t>Mid-February</a:t>
          </a:r>
        </a:p>
      </dsp:txBody>
      <dsp:txXfrm rot="-5400000">
        <a:off x="1" y="3881725"/>
        <a:ext cx="827201" cy="354515"/>
      </dsp:txXfrm>
    </dsp:sp>
    <dsp:sp modelId="{4A8A59F1-128E-4E73-853E-7F16E82B5AB2}">
      <dsp:nvSpPr>
        <dsp:cNvPr id="0" name=""/>
        <dsp:cNvSpPr/>
      </dsp:nvSpPr>
      <dsp:spPr>
        <a:xfrm rot="5400000">
          <a:off x="3390473" y="812970"/>
          <a:ext cx="951880" cy="6078423"/>
        </a:xfrm>
        <a:prstGeom prst="round2SameRect">
          <a:avLst/>
        </a:prstGeom>
        <a:solidFill>
          <a:schemeClr val="lt1">
            <a:alpha val="90000"/>
            <a:hueOff val="0"/>
            <a:satOff val="0"/>
            <a:lumOff val="0"/>
            <a:alphaOff val="0"/>
          </a:schemeClr>
        </a:solidFill>
        <a:ln w="12700" cap="flat" cmpd="sng" algn="ctr">
          <a:solidFill>
            <a:schemeClr val="accent5">
              <a:hueOff val="-3676672"/>
              <a:satOff val="-5114"/>
              <a:lumOff val="-1961"/>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solidFill>
                <a:schemeClr val="tx1"/>
              </a:solidFill>
            </a:rPr>
            <a:t>TFAB provides the president with a memo that includes:</a:t>
          </a:r>
        </a:p>
        <a:p>
          <a:pPr marL="228600" lvl="2" indent="-114300" algn="l" defTabSz="533400">
            <a:lnSpc>
              <a:spcPct val="90000"/>
            </a:lnSpc>
            <a:spcBef>
              <a:spcPct val="0"/>
            </a:spcBef>
            <a:spcAft>
              <a:spcPct val="15000"/>
            </a:spcAft>
            <a:buChar char="••"/>
          </a:pPr>
          <a:r>
            <a:rPr lang="en-US" sz="1200" kern="1200">
              <a:solidFill>
                <a:schemeClr val="tx1"/>
              </a:solidFill>
            </a:rPr>
            <a:t>recommendations related to tuition and fee increases, and</a:t>
          </a:r>
        </a:p>
        <a:p>
          <a:pPr marL="228600" lvl="2" indent="-114300" algn="l" defTabSz="533400">
            <a:lnSpc>
              <a:spcPct val="90000"/>
            </a:lnSpc>
            <a:spcBef>
              <a:spcPct val="0"/>
            </a:spcBef>
            <a:spcAft>
              <a:spcPct val="15000"/>
            </a:spcAft>
            <a:buChar char="••"/>
          </a:pPr>
          <a:r>
            <a:rPr lang="en-US" sz="1200" kern="1200">
              <a:solidFill>
                <a:schemeClr val="tx1"/>
              </a:solidFill>
            </a:rPr>
            <a:t>the full range of opinions and concerns raised by members of the advisory group</a:t>
          </a:r>
        </a:p>
        <a:p>
          <a:pPr marL="114300" lvl="1" indent="-114300" algn="l" defTabSz="533400">
            <a:lnSpc>
              <a:spcPct val="90000"/>
            </a:lnSpc>
            <a:spcBef>
              <a:spcPct val="0"/>
            </a:spcBef>
            <a:spcAft>
              <a:spcPct val="15000"/>
            </a:spcAft>
            <a:buChar char="••"/>
          </a:pPr>
          <a:r>
            <a:rPr lang="en-US" sz="1200" kern="1200">
              <a:solidFill>
                <a:schemeClr val="tx1"/>
              </a:solidFill>
            </a:rPr>
            <a:t>TFAB members have the opportunity to submit a minority memo if they have recommendations that differ from the consensus of the group</a:t>
          </a:r>
        </a:p>
      </dsp:txBody>
      <dsp:txXfrm rot="-5400000">
        <a:off x="827202" y="3422709"/>
        <a:ext cx="6031956" cy="858946"/>
      </dsp:txXfrm>
    </dsp:sp>
    <dsp:sp modelId="{AEF0FD2B-2FB7-49F9-BEBC-8536080346B3}">
      <dsp:nvSpPr>
        <dsp:cNvPr id="0" name=""/>
        <dsp:cNvSpPr/>
      </dsp:nvSpPr>
      <dsp:spPr>
        <a:xfrm rot="5400000">
          <a:off x="-177257" y="4747791"/>
          <a:ext cx="1181716" cy="827201"/>
        </a:xfrm>
        <a:prstGeom prst="chevron">
          <a:avLst/>
        </a:prstGeom>
        <a:solidFill>
          <a:schemeClr val="accent5">
            <a:hueOff val="-4902230"/>
            <a:satOff val="-6819"/>
            <a:lumOff val="-2615"/>
            <a:alphaOff val="0"/>
          </a:schemeClr>
        </a:solidFill>
        <a:ln w="12700" cap="flat" cmpd="sng" algn="ctr">
          <a:solidFill>
            <a:schemeClr val="accent5">
              <a:hueOff val="-4902230"/>
              <a:satOff val="-6819"/>
              <a:lumOff val="-2615"/>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91440" rIns="8890" bIns="8890" numCol="1" spcCol="1270" anchor="ctr" anchorCtr="0">
          <a:noAutofit/>
        </a:bodyPr>
        <a:lstStyle/>
        <a:p>
          <a:pPr lvl="0" algn="ctr" defTabSz="622300">
            <a:lnSpc>
              <a:spcPct val="90000"/>
            </a:lnSpc>
            <a:spcBef>
              <a:spcPct val="0"/>
            </a:spcBef>
            <a:spcAft>
              <a:spcPct val="35000"/>
            </a:spcAft>
          </a:pPr>
          <a:r>
            <a:rPr lang="en-US" sz="1400" kern="1200"/>
            <a:t>Mid-/late February</a:t>
          </a:r>
        </a:p>
      </dsp:txBody>
      <dsp:txXfrm rot="-5400000">
        <a:off x="1" y="4984135"/>
        <a:ext cx="827201" cy="354515"/>
      </dsp:txXfrm>
    </dsp:sp>
    <dsp:sp modelId="{923C3079-9A61-44DB-89A1-1A94CD77B46C}">
      <dsp:nvSpPr>
        <dsp:cNvPr id="0" name=""/>
        <dsp:cNvSpPr/>
      </dsp:nvSpPr>
      <dsp:spPr>
        <a:xfrm rot="5400000">
          <a:off x="3482355" y="1915380"/>
          <a:ext cx="768115" cy="6078423"/>
        </a:xfrm>
        <a:prstGeom prst="round2SameRect">
          <a:avLst/>
        </a:prstGeom>
        <a:solidFill>
          <a:schemeClr val="lt1">
            <a:alpha val="90000"/>
            <a:hueOff val="0"/>
            <a:satOff val="0"/>
            <a:lumOff val="0"/>
            <a:alphaOff val="0"/>
          </a:schemeClr>
        </a:solidFill>
        <a:ln w="12700" cap="flat" cmpd="sng" algn="ctr">
          <a:solidFill>
            <a:schemeClr val="accent5">
              <a:hueOff val="-4902230"/>
              <a:satOff val="-6819"/>
              <a:lumOff val="-261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solidFill>
                <a:schemeClr val="tx1"/>
              </a:solidFill>
            </a:rPr>
            <a:t>The university president:</a:t>
          </a:r>
        </a:p>
        <a:p>
          <a:pPr marL="228600" lvl="2" indent="-114300" algn="l" defTabSz="533400">
            <a:lnSpc>
              <a:spcPct val="90000"/>
            </a:lnSpc>
            <a:spcBef>
              <a:spcPct val="0"/>
            </a:spcBef>
            <a:spcAft>
              <a:spcPct val="15000"/>
            </a:spcAft>
            <a:buChar char="••"/>
          </a:pPr>
          <a:r>
            <a:rPr lang="en-US" sz="1200" kern="1200">
              <a:solidFill>
                <a:schemeClr val="tx1"/>
              </a:solidFill>
            </a:rPr>
            <a:t>reviews the TFAB memo and shares it with campus</a:t>
          </a:r>
        </a:p>
        <a:p>
          <a:pPr marL="228600" lvl="2" indent="-114300" algn="l" defTabSz="533400">
            <a:lnSpc>
              <a:spcPct val="90000"/>
            </a:lnSpc>
            <a:spcBef>
              <a:spcPct val="0"/>
            </a:spcBef>
            <a:spcAft>
              <a:spcPct val="15000"/>
            </a:spcAft>
            <a:buChar char="••"/>
          </a:pPr>
          <a:r>
            <a:rPr lang="en-US" sz="1200" kern="1200">
              <a:solidFill>
                <a:schemeClr val="tx1"/>
              </a:solidFill>
            </a:rPr>
            <a:t>opens a campus-wide survey requesting input from students, faculty, and staff</a:t>
          </a:r>
        </a:p>
        <a:p>
          <a:pPr marL="228600" lvl="2" indent="-114300" algn="l" defTabSz="533400">
            <a:lnSpc>
              <a:spcPct val="90000"/>
            </a:lnSpc>
            <a:spcBef>
              <a:spcPct val="0"/>
            </a:spcBef>
            <a:spcAft>
              <a:spcPct val="15000"/>
            </a:spcAft>
            <a:buChar char="••"/>
          </a:pPr>
          <a:r>
            <a:rPr lang="en-US" sz="1200" kern="1200">
              <a:solidFill>
                <a:schemeClr val="tx1"/>
              </a:solidFill>
            </a:rPr>
            <a:t>holds a public forum to discuss the TFAB recommendations</a:t>
          </a:r>
        </a:p>
      </dsp:txBody>
      <dsp:txXfrm rot="-5400000">
        <a:off x="827201" y="4608030"/>
        <a:ext cx="6040927" cy="693123"/>
      </dsp:txXfrm>
    </dsp:sp>
    <dsp:sp modelId="{48A97D5E-ADCA-4E5A-9AC9-C93CBD46AA44}">
      <dsp:nvSpPr>
        <dsp:cNvPr id="0" name=""/>
        <dsp:cNvSpPr/>
      </dsp:nvSpPr>
      <dsp:spPr>
        <a:xfrm rot="5400000">
          <a:off x="-177257" y="5850201"/>
          <a:ext cx="1181716" cy="827201"/>
        </a:xfrm>
        <a:prstGeom prst="chevron">
          <a:avLst/>
        </a:prstGeom>
        <a:solidFill>
          <a:schemeClr val="accent5">
            <a:hueOff val="-6127787"/>
            <a:satOff val="-8523"/>
            <a:lumOff val="-3268"/>
            <a:alphaOff val="0"/>
          </a:schemeClr>
        </a:solidFill>
        <a:ln w="12700" cap="flat" cmpd="sng" algn="ctr">
          <a:solidFill>
            <a:schemeClr val="accent5">
              <a:hueOff val="-6127787"/>
              <a:satOff val="-8523"/>
              <a:lumOff val="-3268"/>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182880" rIns="8890" bIns="8890" numCol="1" spcCol="1270" anchor="ctr" anchorCtr="0">
          <a:noAutofit/>
        </a:bodyPr>
        <a:lstStyle/>
        <a:p>
          <a:pPr lvl="0" algn="ctr" defTabSz="622300">
            <a:lnSpc>
              <a:spcPct val="90000"/>
            </a:lnSpc>
            <a:spcBef>
              <a:spcPct val="0"/>
            </a:spcBef>
            <a:spcAft>
              <a:spcPct val="35000"/>
            </a:spcAft>
          </a:pPr>
          <a:r>
            <a:rPr lang="en-US" sz="1400" kern="1200"/>
            <a:t>Late Feb/early March</a:t>
          </a:r>
        </a:p>
      </dsp:txBody>
      <dsp:txXfrm rot="-5400000">
        <a:off x="1" y="6086545"/>
        <a:ext cx="827201" cy="354515"/>
      </dsp:txXfrm>
    </dsp:sp>
    <dsp:sp modelId="{E338EF67-4E24-4B13-AFF6-36E30FD69E6D}">
      <dsp:nvSpPr>
        <dsp:cNvPr id="0" name=""/>
        <dsp:cNvSpPr/>
      </dsp:nvSpPr>
      <dsp:spPr>
        <a:xfrm rot="5400000">
          <a:off x="3482355" y="3017790"/>
          <a:ext cx="768115" cy="6078423"/>
        </a:xfrm>
        <a:prstGeom prst="round2SameRect">
          <a:avLst/>
        </a:prstGeom>
        <a:solidFill>
          <a:schemeClr val="lt1">
            <a:alpha val="90000"/>
            <a:hueOff val="0"/>
            <a:satOff val="0"/>
            <a:lumOff val="0"/>
            <a:alphaOff val="0"/>
          </a:schemeClr>
        </a:solidFill>
        <a:ln w="12700" cap="flat" cmpd="sng" algn="ctr">
          <a:solidFill>
            <a:schemeClr val="accent5">
              <a:hueOff val="-6127787"/>
              <a:satOff val="-8523"/>
              <a:lumOff val="-3268"/>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t>The university president:</a:t>
          </a:r>
        </a:p>
        <a:p>
          <a:pPr marL="228600" lvl="2" indent="-114300" algn="l" defTabSz="533400">
            <a:lnSpc>
              <a:spcPct val="90000"/>
            </a:lnSpc>
            <a:spcBef>
              <a:spcPct val="0"/>
            </a:spcBef>
            <a:spcAft>
              <a:spcPct val="15000"/>
            </a:spcAft>
            <a:buChar char="••"/>
          </a:pPr>
          <a:r>
            <a:rPr lang="en-US" sz="1200" kern="1200"/>
            <a:t>reviews </a:t>
          </a:r>
          <a:r>
            <a:rPr lang="en-US" sz="1200" kern="1200">
              <a:solidFill>
                <a:schemeClr val="tx1"/>
              </a:solidFill>
            </a:rPr>
            <a:t>input on TFAB's recommendations before making his own recommendations</a:t>
          </a:r>
        </a:p>
        <a:p>
          <a:pPr marL="228600" lvl="2" indent="-114300" algn="l" defTabSz="533400">
            <a:lnSpc>
              <a:spcPct val="90000"/>
            </a:lnSpc>
            <a:spcBef>
              <a:spcPct val="0"/>
            </a:spcBef>
            <a:spcAft>
              <a:spcPct val="15000"/>
            </a:spcAft>
            <a:buChar char="••"/>
          </a:pPr>
          <a:r>
            <a:rPr lang="en-US" sz="1200" kern="1200">
              <a:solidFill>
                <a:schemeClr val="tx1"/>
              </a:solidFill>
            </a:rPr>
            <a:t>sends a message to campus regarding his recommendations</a:t>
          </a:r>
        </a:p>
        <a:p>
          <a:pPr marL="228600" lvl="2" indent="-114300" algn="l" defTabSz="533400">
            <a:lnSpc>
              <a:spcPct val="90000"/>
            </a:lnSpc>
            <a:spcBef>
              <a:spcPct val="0"/>
            </a:spcBef>
            <a:spcAft>
              <a:spcPct val="15000"/>
            </a:spcAft>
            <a:buChar char="••"/>
          </a:pPr>
          <a:r>
            <a:rPr lang="en-US" sz="1200" kern="1200">
              <a:solidFill>
                <a:schemeClr val="tx1"/>
              </a:solidFill>
            </a:rPr>
            <a:t>submits tuition and fee recommendations to the UO Board of Trustees</a:t>
          </a:r>
        </a:p>
      </dsp:txBody>
      <dsp:txXfrm rot="-5400000">
        <a:off x="827201" y="5710440"/>
        <a:ext cx="6040927" cy="693123"/>
      </dsp:txXfrm>
    </dsp:sp>
    <dsp:sp modelId="{4A001952-0F65-4D26-8FAC-6628770118CB}">
      <dsp:nvSpPr>
        <dsp:cNvPr id="0" name=""/>
        <dsp:cNvSpPr/>
      </dsp:nvSpPr>
      <dsp:spPr>
        <a:xfrm rot="5400000">
          <a:off x="-177257" y="6952611"/>
          <a:ext cx="1181716" cy="827201"/>
        </a:xfrm>
        <a:prstGeom prst="chevron">
          <a:avLst/>
        </a:prstGeom>
        <a:solidFill>
          <a:schemeClr val="accent5">
            <a:hueOff val="-7353344"/>
            <a:satOff val="-10228"/>
            <a:lumOff val="-3922"/>
            <a:alphaOff val="0"/>
          </a:schemeClr>
        </a:solidFill>
        <a:ln w="12700" cap="flat" cmpd="sng" algn="ctr">
          <a:solidFill>
            <a:schemeClr val="accent5">
              <a:hueOff val="-7353344"/>
              <a:satOff val="-10228"/>
              <a:lumOff val="-3922"/>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91440" rIns="8890" bIns="8890" numCol="1" spcCol="1270" anchor="ctr" anchorCtr="0">
          <a:noAutofit/>
        </a:bodyPr>
        <a:lstStyle/>
        <a:p>
          <a:pPr lvl="0" algn="ctr" defTabSz="622300">
            <a:lnSpc>
              <a:spcPct val="90000"/>
            </a:lnSpc>
            <a:spcBef>
              <a:spcPct val="0"/>
            </a:spcBef>
            <a:spcAft>
              <a:spcPct val="35000"/>
            </a:spcAft>
          </a:pPr>
          <a:r>
            <a:rPr lang="en-US" sz="1400" kern="1200"/>
            <a:t>March 2022</a:t>
          </a:r>
        </a:p>
      </dsp:txBody>
      <dsp:txXfrm rot="-5400000">
        <a:off x="1" y="7188955"/>
        <a:ext cx="827201" cy="354515"/>
      </dsp:txXfrm>
    </dsp:sp>
    <dsp:sp modelId="{97F5D11F-770F-43D9-932E-1215C45B2CD3}">
      <dsp:nvSpPr>
        <dsp:cNvPr id="0" name=""/>
        <dsp:cNvSpPr/>
      </dsp:nvSpPr>
      <dsp:spPr>
        <a:xfrm rot="5400000">
          <a:off x="3482355" y="4120200"/>
          <a:ext cx="768115" cy="6078423"/>
        </a:xfrm>
        <a:prstGeom prst="round2SameRect">
          <a:avLst/>
        </a:prstGeom>
        <a:solidFill>
          <a:schemeClr val="lt1">
            <a:alpha val="90000"/>
            <a:hueOff val="0"/>
            <a:satOff val="0"/>
            <a:lumOff val="0"/>
            <a:alphaOff val="0"/>
          </a:schemeClr>
        </a:solidFill>
        <a:ln w="12700" cap="flat" cmpd="sng" algn="ctr">
          <a:solidFill>
            <a:schemeClr val="accent5">
              <a:hueOff val="-7353344"/>
              <a:satOff val="-10228"/>
              <a:lumOff val="-3922"/>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solidFill>
                <a:schemeClr val="tx1"/>
              </a:solidFill>
            </a:rPr>
            <a:t>The UO Board of Trustees reviews recommendations and determines FY2023 UO tuition rates.</a:t>
          </a:r>
        </a:p>
      </dsp:txBody>
      <dsp:txXfrm rot="-5400000">
        <a:off x="827201" y="6812850"/>
        <a:ext cx="6040927" cy="693123"/>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6F628-8027-4E2D-A9CA-1A45A4529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702</Words>
  <Characters>4005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Sharp</dc:creator>
  <cp:keywords/>
  <dc:description/>
  <cp:lastModifiedBy>Debbie Sharp</cp:lastModifiedBy>
  <cp:revision>14</cp:revision>
  <cp:lastPrinted>2020-01-15T00:18:00Z</cp:lastPrinted>
  <dcterms:created xsi:type="dcterms:W3CDTF">2021-11-14T20:54:00Z</dcterms:created>
  <dcterms:modified xsi:type="dcterms:W3CDTF">2021-11-17T20:14:00Z</dcterms:modified>
</cp:coreProperties>
</file>