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0641" w14:textId="6D6C089D" w:rsidR="00AC5DAC" w:rsidRPr="00574494" w:rsidRDefault="00AC5DAC" w:rsidP="00E27041">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591AD184" w14:textId="3C7DF7C8" w:rsidR="00AC5DAC" w:rsidRPr="00DB59C0" w:rsidRDefault="00AC5DAC" w:rsidP="00AC5DA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4500BF">
        <w:rPr>
          <w:rStyle w:val="normaltextrun"/>
          <w:rFonts w:ascii="Calibri" w:hAnsi="Calibri" w:cs="Calibri"/>
          <w:b/>
          <w:bCs/>
        </w:rPr>
        <w:t xml:space="preserve">January </w:t>
      </w:r>
      <w:r w:rsidR="00E27041">
        <w:rPr>
          <w:rStyle w:val="normaltextrun"/>
          <w:rFonts w:ascii="Calibri" w:hAnsi="Calibri" w:cs="Calibri"/>
          <w:b/>
          <w:bCs/>
        </w:rPr>
        <w:t>31</w:t>
      </w:r>
      <w:r w:rsidRPr="00DB59C0">
        <w:rPr>
          <w:rStyle w:val="normaltextrun"/>
          <w:rFonts w:ascii="Calibri" w:hAnsi="Calibri" w:cs="Calibri"/>
          <w:b/>
          <w:bCs/>
        </w:rPr>
        <w:t>, 202</w:t>
      </w:r>
      <w:r w:rsidR="004500BF">
        <w:rPr>
          <w:rStyle w:val="normaltextrun"/>
          <w:rFonts w:ascii="Calibri" w:hAnsi="Calibri" w:cs="Calibri"/>
          <w:b/>
          <w:bCs/>
        </w:rPr>
        <w:t>4</w:t>
      </w:r>
      <w:r w:rsidRPr="00DB59C0">
        <w:rPr>
          <w:rStyle w:val="eop"/>
          <w:rFonts w:ascii="Calibri" w:hAnsi="Calibri" w:cs="Calibri"/>
        </w:rPr>
        <w:t> </w:t>
      </w:r>
    </w:p>
    <w:p w14:paraId="74E48FFD" w14:textId="77777777" w:rsidR="00AC5DAC" w:rsidRPr="00DB59C0" w:rsidRDefault="00AC5DAC" w:rsidP="00AC5DA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3F9027A9" w14:textId="689D666D" w:rsidR="00AC5DAC" w:rsidRPr="00D83C8B" w:rsidRDefault="00AC5DAC" w:rsidP="0050206E">
      <w:pPr>
        <w:rPr>
          <w:rFonts w:ascii="Calibri" w:eastAsia="Calibri" w:hAnsi="Calibri" w:cs="Calibri"/>
          <w:bCs/>
        </w:rPr>
      </w:pPr>
      <w:r w:rsidRPr="00765D24">
        <w:rPr>
          <w:rFonts w:ascii="Calibri" w:eastAsia="Calibri" w:hAnsi="Calibri" w:cs="Calibri"/>
          <w:bCs/>
        </w:rPr>
        <w:t>The 202</w:t>
      </w:r>
      <w:r w:rsidR="0056437E">
        <w:rPr>
          <w:rFonts w:ascii="Calibri" w:eastAsia="Calibri" w:hAnsi="Calibri" w:cs="Calibri"/>
          <w:bCs/>
        </w:rPr>
        <w:t>3</w:t>
      </w:r>
      <w:r w:rsidRPr="00765D24">
        <w:rPr>
          <w:rFonts w:ascii="Calibri" w:eastAsia="Calibri" w:hAnsi="Calibri" w:cs="Calibri"/>
          <w:bCs/>
        </w:rPr>
        <w:t>–202</w:t>
      </w:r>
      <w:r>
        <w:rPr>
          <w:rFonts w:ascii="Calibri" w:eastAsia="Calibri" w:hAnsi="Calibri" w:cs="Calibri"/>
          <w:bCs/>
        </w:rPr>
        <w:t>4</w:t>
      </w:r>
      <w:r w:rsidRPr="00765D24">
        <w:rPr>
          <w:rFonts w:ascii="Calibri" w:eastAsia="Calibri" w:hAnsi="Calibri" w:cs="Calibri"/>
          <w:bCs/>
        </w:rPr>
        <w:t xml:space="preserve"> Tuition and Fee Advisory Board (TFAB) of the University of Oregon met in </w:t>
      </w:r>
      <w:r w:rsidR="00730733">
        <w:rPr>
          <w:rFonts w:ascii="Calibri" w:eastAsia="Calibri" w:hAnsi="Calibri" w:cs="Calibri"/>
          <w:bCs/>
        </w:rPr>
        <w:t>the Miller Room (107)</w:t>
      </w:r>
      <w:r w:rsidR="00C82B7E">
        <w:rPr>
          <w:rFonts w:ascii="Calibri" w:eastAsia="Calibri" w:hAnsi="Calibri" w:cs="Calibri"/>
          <w:bCs/>
        </w:rPr>
        <w:t xml:space="preserve"> </w:t>
      </w:r>
      <w:r w:rsidR="004500BF">
        <w:rPr>
          <w:rFonts w:ascii="Calibri" w:eastAsia="Calibri" w:hAnsi="Calibri" w:cs="Calibri"/>
          <w:bCs/>
        </w:rPr>
        <w:t xml:space="preserve">of the </w:t>
      </w:r>
      <w:proofErr w:type="spellStart"/>
      <w:r w:rsidR="004500BF">
        <w:rPr>
          <w:rFonts w:ascii="Calibri" w:eastAsia="Calibri" w:hAnsi="Calibri" w:cs="Calibri"/>
          <w:bCs/>
        </w:rPr>
        <w:t>Erb</w:t>
      </w:r>
      <w:proofErr w:type="spellEnd"/>
      <w:r w:rsidR="004500BF">
        <w:rPr>
          <w:rFonts w:ascii="Calibri" w:eastAsia="Calibri" w:hAnsi="Calibri" w:cs="Calibri"/>
          <w:bCs/>
        </w:rPr>
        <w:t xml:space="preserve"> Memorial Union (EMU)</w:t>
      </w:r>
      <w:r w:rsidR="0056437E">
        <w:rPr>
          <w:rFonts w:ascii="Calibri" w:eastAsia="Calibri" w:hAnsi="Calibri" w:cs="Calibri"/>
          <w:bCs/>
        </w:rPr>
        <w:t xml:space="preserve"> </w:t>
      </w:r>
      <w:r w:rsidRPr="00765D24">
        <w:rPr>
          <w:rFonts w:ascii="Calibri" w:eastAsia="Calibri" w:hAnsi="Calibri" w:cs="Calibri"/>
          <w:bCs/>
        </w:rPr>
        <w:t xml:space="preserve">at </w:t>
      </w:r>
      <w:r w:rsidR="00730733">
        <w:rPr>
          <w:rFonts w:ascii="Calibri" w:eastAsia="Calibri" w:hAnsi="Calibri" w:cs="Calibri"/>
          <w:bCs/>
        </w:rPr>
        <w:t>3</w:t>
      </w:r>
      <w:r w:rsidRPr="00765D24">
        <w:rPr>
          <w:rFonts w:ascii="Calibri" w:eastAsia="Calibri" w:hAnsi="Calibri" w:cs="Calibri"/>
          <w:bCs/>
        </w:rPr>
        <w:t>:</w:t>
      </w:r>
      <w:r w:rsidR="0056437E">
        <w:rPr>
          <w:rFonts w:ascii="Calibri" w:eastAsia="Calibri" w:hAnsi="Calibri" w:cs="Calibri"/>
          <w:bCs/>
        </w:rPr>
        <w:t>00</w:t>
      </w:r>
      <w:r w:rsidRPr="00765D24">
        <w:rPr>
          <w:rFonts w:ascii="Calibri" w:eastAsia="Calibri" w:hAnsi="Calibri" w:cs="Calibri"/>
          <w:bCs/>
        </w:rPr>
        <w:t xml:space="preserve"> </w:t>
      </w:r>
      <w:r w:rsidR="00730733">
        <w:rPr>
          <w:rFonts w:ascii="Calibri" w:eastAsia="Calibri" w:hAnsi="Calibri" w:cs="Calibri"/>
          <w:bCs/>
        </w:rPr>
        <w:t>p</w:t>
      </w:r>
      <w:r w:rsidRPr="00765D24">
        <w:rPr>
          <w:rFonts w:ascii="Calibri" w:eastAsia="Calibri" w:hAnsi="Calibri" w:cs="Calibri"/>
          <w:bCs/>
        </w:rPr>
        <w:t xml:space="preserve">.m. on </w:t>
      </w:r>
      <w:r w:rsidR="00D83C8B">
        <w:rPr>
          <w:rFonts w:ascii="Calibri" w:eastAsia="Calibri" w:hAnsi="Calibri" w:cs="Calibri"/>
          <w:bCs/>
        </w:rPr>
        <w:t>Wednesday</w:t>
      </w:r>
      <w:r w:rsidR="0056437E">
        <w:rPr>
          <w:rFonts w:ascii="Calibri" w:eastAsia="Calibri" w:hAnsi="Calibri" w:cs="Calibri"/>
          <w:bCs/>
        </w:rPr>
        <w:t xml:space="preserve">, </w:t>
      </w:r>
      <w:r w:rsidR="004500BF">
        <w:rPr>
          <w:rFonts w:ascii="Calibri" w:eastAsia="Calibri" w:hAnsi="Calibri" w:cs="Calibri"/>
          <w:bCs/>
        </w:rPr>
        <w:t xml:space="preserve">January </w:t>
      </w:r>
      <w:r w:rsidR="00E27041">
        <w:rPr>
          <w:rFonts w:ascii="Calibri" w:eastAsia="Calibri" w:hAnsi="Calibri" w:cs="Calibri"/>
          <w:bCs/>
        </w:rPr>
        <w:t>31</w:t>
      </w:r>
      <w:r w:rsidRPr="00765D24">
        <w:rPr>
          <w:rFonts w:ascii="Calibri" w:eastAsia="Calibri" w:hAnsi="Calibri" w:cs="Calibri"/>
          <w:bCs/>
        </w:rPr>
        <w:t>, 202</w:t>
      </w:r>
      <w:r w:rsidR="004500BF">
        <w:rPr>
          <w:rFonts w:ascii="Calibri" w:eastAsia="Calibri" w:hAnsi="Calibri" w:cs="Calibri"/>
          <w:bCs/>
        </w:rPr>
        <w:t>4</w:t>
      </w:r>
      <w:r w:rsidRPr="00765D24">
        <w:rPr>
          <w:rFonts w:ascii="Calibri" w:eastAsia="Calibri" w:hAnsi="Calibri" w:cs="Calibri"/>
          <w:bCs/>
        </w:rPr>
        <w:t>. A remote option was available by request;</w:t>
      </w:r>
      <w:r>
        <w:rPr>
          <w:rFonts w:ascii="Calibri" w:eastAsia="Calibri" w:hAnsi="Calibri" w:cs="Calibri"/>
          <w:bCs/>
        </w:rPr>
        <w:t xml:space="preserve"> </w:t>
      </w:r>
      <w:r w:rsidR="00E27041">
        <w:rPr>
          <w:rFonts w:ascii="Calibri" w:eastAsia="Calibri" w:hAnsi="Calibri" w:cs="Calibri"/>
          <w:bCs/>
        </w:rPr>
        <w:t>four</w:t>
      </w:r>
      <w:r w:rsidR="00D83C8B">
        <w:rPr>
          <w:rFonts w:ascii="Calibri" w:eastAsia="Calibri" w:hAnsi="Calibri" w:cs="Calibri"/>
          <w:bCs/>
        </w:rPr>
        <w:t xml:space="preserve"> </w:t>
      </w:r>
      <w:r w:rsidRPr="00765D24">
        <w:rPr>
          <w:rFonts w:ascii="Calibri" w:eastAsia="Calibri" w:hAnsi="Calibri" w:cs="Calibri"/>
          <w:bCs/>
        </w:rPr>
        <w:t>participant</w:t>
      </w:r>
      <w:r>
        <w:rPr>
          <w:rFonts w:ascii="Calibri" w:eastAsia="Calibri" w:hAnsi="Calibri" w:cs="Calibri"/>
          <w:bCs/>
        </w:rPr>
        <w:t>s</w:t>
      </w:r>
      <w:r w:rsidRPr="00765D24">
        <w:rPr>
          <w:rFonts w:ascii="Calibri" w:eastAsia="Calibri" w:hAnsi="Calibri" w:cs="Calibri"/>
          <w:bCs/>
        </w:rPr>
        <w:t xml:space="preserve"> attended the meeting </w:t>
      </w:r>
      <w:r>
        <w:rPr>
          <w:rFonts w:ascii="Calibri" w:eastAsia="Calibri" w:hAnsi="Calibri" w:cs="Calibri"/>
          <w:bCs/>
        </w:rPr>
        <w:t>remotely</w:t>
      </w:r>
      <w:r w:rsidRPr="00765D24">
        <w:rPr>
          <w:rFonts w:ascii="Calibri" w:eastAsia="Calibri" w:hAnsi="Calibri" w:cs="Calibri"/>
          <w:bCs/>
        </w:rPr>
        <w:t xml:space="preserve">. Below is a summary of the meeting; documents discussed during the session are </w:t>
      </w:r>
      <w:r w:rsidRPr="00D83C8B">
        <w:rPr>
          <w:rFonts w:ascii="Calibri" w:eastAsia="Calibri" w:hAnsi="Calibri" w:cs="Calibri"/>
          <w:bCs/>
        </w:rPr>
        <w:t xml:space="preserve">available </w:t>
      </w:r>
      <w:hyperlink r:id="rId10" w:history="1">
        <w:r w:rsidRPr="00D83C8B">
          <w:rPr>
            <w:rStyle w:val="Hyperlink"/>
            <w:rFonts w:ascii="Calibri" w:eastAsia="Calibri" w:hAnsi="Calibri" w:cs="Calibri"/>
            <w:bCs/>
          </w:rPr>
          <w:t>online</w:t>
        </w:r>
      </w:hyperlink>
      <w:r w:rsidRPr="00D83C8B">
        <w:rPr>
          <w:rFonts w:ascii="Calibri" w:eastAsia="Calibri" w:hAnsi="Calibri" w:cs="Calibri"/>
          <w:bCs/>
        </w:rPr>
        <w:t>.</w:t>
      </w:r>
    </w:p>
    <w:p w14:paraId="3BE77F22" w14:textId="04DBF37E" w:rsidR="004500BF" w:rsidRPr="006B0F47" w:rsidRDefault="0056437E" w:rsidP="009764DF">
      <w:pPr>
        <w:rPr>
          <w:rFonts w:cs="Times New Roman"/>
        </w:rPr>
      </w:pPr>
      <w:r w:rsidRPr="00D83C8B">
        <w:rPr>
          <w:rFonts w:cs="Times New Roman"/>
          <w:b/>
        </w:rPr>
        <w:t>Attending</w:t>
      </w:r>
      <w:r w:rsidRPr="00D83C8B">
        <w:rPr>
          <w:rFonts w:cs="Times New Roman"/>
        </w:rPr>
        <w:t xml:space="preserve">: </w:t>
      </w:r>
      <w:r w:rsidR="007070DA" w:rsidRPr="00D83C8B">
        <w:rPr>
          <w:rFonts w:cs="Times New Roman"/>
        </w:rPr>
        <w:t xml:space="preserve">Kersey Bars, </w:t>
      </w:r>
      <w:r w:rsidR="00E27041" w:rsidRPr="00D83C8B">
        <w:rPr>
          <w:rFonts w:cs="Times New Roman"/>
        </w:rPr>
        <w:t xml:space="preserve">Elliot Berkman (online), </w:t>
      </w:r>
      <w:r w:rsidR="004500BF" w:rsidRPr="00D83C8B">
        <w:rPr>
          <w:rFonts w:cs="Times New Roman"/>
        </w:rPr>
        <w:t>Krista Borg</w:t>
      </w:r>
      <w:r w:rsidR="009764DF" w:rsidRPr="00D83C8B">
        <w:rPr>
          <w:rFonts w:cs="Times New Roman"/>
        </w:rPr>
        <w:t xml:space="preserve">, </w:t>
      </w:r>
      <w:r w:rsidR="004500BF" w:rsidRPr="00D83C8B">
        <w:rPr>
          <w:rFonts w:cs="Times New Roman"/>
        </w:rPr>
        <w:t>Jim Brooks</w:t>
      </w:r>
      <w:r w:rsidR="009764DF" w:rsidRPr="00D83C8B">
        <w:rPr>
          <w:rFonts w:cs="Times New Roman"/>
        </w:rPr>
        <w:t xml:space="preserve">, </w:t>
      </w:r>
      <w:r w:rsidR="003C7C4F" w:rsidRPr="00D83C8B">
        <w:rPr>
          <w:rFonts w:cs="Times New Roman"/>
        </w:rPr>
        <w:t xml:space="preserve">Robin Clement, </w:t>
      </w:r>
      <w:r w:rsidR="004500BF" w:rsidRPr="00D83C8B">
        <w:rPr>
          <w:rFonts w:cs="Times New Roman"/>
        </w:rPr>
        <w:t>Renée Dorjahn</w:t>
      </w:r>
      <w:r w:rsidR="009764DF" w:rsidRPr="00D83C8B">
        <w:rPr>
          <w:rFonts w:cs="Times New Roman"/>
        </w:rPr>
        <w:t xml:space="preserve">, </w:t>
      </w:r>
      <w:proofErr w:type="spellStart"/>
      <w:r w:rsidR="000122F5" w:rsidRPr="00D83C8B">
        <w:rPr>
          <w:rFonts w:cs="Times New Roman"/>
        </w:rPr>
        <w:t>Sorin</w:t>
      </w:r>
      <w:proofErr w:type="spellEnd"/>
      <w:r w:rsidR="000122F5" w:rsidRPr="00D83C8B">
        <w:rPr>
          <w:rFonts w:cs="Times New Roman"/>
        </w:rPr>
        <w:t xml:space="preserve"> </w:t>
      </w:r>
      <w:proofErr w:type="spellStart"/>
      <w:r w:rsidR="000122F5" w:rsidRPr="00D83C8B">
        <w:rPr>
          <w:rFonts w:cs="Times New Roman"/>
        </w:rPr>
        <w:t>Dragoiu</w:t>
      </w:r>
      <w:proofErr w:type="spellEnd"/>
      <w:r w:rsidR="000122F5" w:rsidRPr="00D83C8B">
        <w:rPr>
          <w:rFonts w:cs="Times New Roman"/>
        </w:rPr>
        <w:t xml:space="preserve"> (guest), </w:t>
      </w:r>
      <w:r w:rsidR="004500BF" w:rsidRPr="00D83C8B">
        <w:rPr>
          <w:rFonts w:cs="Times New Roman"/>
        </w:rPr>
        <w:t>Brian Fox</w:t>
      </w:r>
      <w:r w:rsidR="009764DF" w:rsidRPr="00D83C8B">
        <w:rPr>
          <w:rFonts w:cs="Times New Roman"/>
        </w:rPr>
        <w:t xml:space="preserve">, Heather </w:t>
      </w:r>
      <w:r w:rsidR="004500BF" w:rsidRPr="00D83C8B">
        <w:rPr>
          <w:rFonts w:cs="Times New Roman"/>
        </w:rPr>
        <w:t>Gustafson</w:t>
      </w:r>
      <w:r w:rsidR="009764DF" w:rsidRPr="00D83C8B">
        <w:rPr>
          <w:rFonts w:cs="Times New Roman"/>
        </w:rPr>
        <w:t xml:space="preserve">, </w:t>
      </w:r>
      <w:r w:rsidR="00E27041" w:rsidRPr="00D83C8B">
        <w:rPr>
          <w:rFonts w:cs="Times New Roman"/>
        </w:rPr>
        <w:t xml:space="preserve">Erin Hays (guest), </w:t>
      </w:r>
      <w:r w:rsidR="004500BF" w:rsidRPr="00D83C8B">
        <w:rPr>
          <w:rFonts w:cs="Times New Roman"/>
        </w:rPr>
        <w:t>Laura Lee McIntyre</w:t>
      </w:r>
      <w:r w:rsidR="009764DF" w:rsidRPr="00D83C8B">
        <w:rPr>
          <w:rFonts w:cs="Times New Roman"/>
        </w:rPr>
        <w:t xml:space="preserve">, </w:t>
      </w:r>
      <w:r w:rsidR="007070DA" w:rsidRPr="00D83C8B">
        <w:rPr>
          <w:rFonts w:cs="Times New Roman"/>
        </w:rPr>
        <w:t xml:space="preserve">Jamie Moffitt (co-chair), </w:t>
      </w:r>
      <w:r w:rsidR="00D83C8B" w:rsidRPr="00D83C8B">
        <w:rPr>
          <w:rFonts w:cs="Times New Roman"/>
        </w:rPr>
        <w:t xml:space="preserve">JP Monroe, </w:t>
      </w:r>
      <w:r w:rsidR="004500BF" w:rsidRPr="00D83C8B">
        <w:rPr>
          <w:rFonts w:cs="Times New Roman"/>
        </w:rPr>
        <w:t>Finn O'Donnell</w:t>
      </w:r>
      <w:r w:rsidR="009764DF" w:rsidRPr="00D83C8B">
        <w:rPr>
          <w:rFonts w:cs="Times New Roman"/>
        </w:rPr>
        <w:t xml:space="preserve">, </w:t>
      </w:r>
      <w:r w:rsidR="00E27041" w:rsidRPr="00D83C8B">
        <w:rPr>
          <w:rFonts w:cs="Times New Roman"/>
        </w:rPr>
        <w:t xml:space="preserve">Jasmine Ramirez-Miranda (online), </w:t>
      </w:r>
      <w:proofErr w:type="spellStart"/>
      <w:r w:rsidR="00D83C8B" w:rsidRPr="00D83C8B">
        <w:rPr>
          <w:rFonts w:cs="Times New Roman"/>
        </w:rPr>
        <w:t>Kerlos</w:t>
      </w:r>
      <w:proofErr w:type="spellEnd"/>
      <w:r w:rsidR="00D83C8B" w:rsidRPr="00D83C8B">
        <w:rPr>
          <w:rFonts w:cs="Times New Roman"/>
        </w:rPr>
        <w:t xml:space="preserve"> </w:t>
      </w:r>
      <w:proofErr w:type="spellStart"/>
      <w:r w:rsidR="00D83C8B" w:rsidRPr="00D83C8B">
        <w:rPr>
          <w:rFonts w:cs="Times New Roman"/>
        </w:rPr>
        <w:t>Rizk</w:t>
      </w:r>
      <w:proofErr w:type="spellEnd"/>
      <w:r w:rsidR="00D83C8B" w:rsidRPr="00D83C8B">
        <w:rPr>
          <w:rFonts w:cs="Times New Roman"/>
        </w:rPr>
        <w:t xml:space="preserve">, </w:t>
      </w:r>
      <w:r w:rsidR="002951DF" w:rsidRPr="00D83C8B">
        <w:rPr>
          <w:rFonts w:cs="Times New Roman"/>
        </w:rPr>
        <w:t xml:space="preserve">Hal </w:t>
      </w:r>
      <w:proofErr w:type="spellStart"/>
      <w:r w:rsidR="002951DF" w:rsidRPr="00D83C8B">
        <w:rPr>
          <w:rFonts w:cs="Times New Roman"/>
        </w:rPr>
        <w:t>Sadofsky</w:t>
      </w:r>
      <w:proofErr w:type="spellEnd"/>
      <w:r w:rsidR="002951DF" w:rsidRPr="00D83C8B">
        <w:rPr>
          <w:rFonts w:cs="Times New Roman"/>
        </w:rPr>
        <w:t xml:space="preserve">, </w:t>
      </w:r>
      <w:r w:rsidR="00E27041" w:rsidRPr="00D83C8B">
        <w:rPr>
          <w:rFonts w:cs="Times New Roman"/>
        </w:rPr>
        <w:t>Anna Schmidt-</w:t>
      </w:r>
      <w:proofErr w:type="spellStart"/>
      <w:r w:rsidR="00E27041" w:rsidRPr="00D83C8B">
        <w:rPr>
          <w:rFonts w:cs="Times New Roman"/>
        </w:rPr>
        <w:t>M</w:t>
      </w:r>
      <w:r w:rsidR="00D83C8B" w:rsidRPr="00D83C8B">
        <w:rPr>
          <w:rFonts w:cs="Times New Roman"/>
        </w:rPr>
        <w:t>a</w:t>
      </w:r>
      <w:r w:rsidR="00E27041" w:rsidRPr="00D83C8B">
        <w:rPr>
          <w:rFonts w:cs="Times New Roman"/>
        </w:rPr>
        <w:t>cKenzie</w:t>
      </w:r>
      <w:proofErr w:type="spellEnd"/>
      <w:r w:rsidR="00E27041" w:rsidRPr="00D83C8B">
        <w:rPr>
          <w:rFonts w:cs="Times New Roman"/>
        </w:rPr>
        <w:t xml:space="preserve"> (guest), </w:t>
      </w:r>
      <w:r w:rsidR="004500BF" w:rsidRPr="00D83C8B">
        <w:rPr>
          <w:rFonts w:cs="Times New Roman"/>
        </w:rPr>
        <w:t>Grant Schoonover</w:t>
      </w:r>
      <w:r w:rsidR="009764DF" w:rsidRPr="00D83C8B">
        <w:rPr>
          <w:rFonts w:cs="Times New Roman"/>
        </w:rPr>
        <w:t xml:space="preserve">, </w:t>
      </w:r>
      <w:r w:rsidR="006B0F47" w:rsidRPr="00D83C8B">
        <w:rPr>
          <w:rFonts w:cs="Times New Roman"/>
        </w:rPr>
        <w:t xml:space="preserve">Kathie Stanley (online), </w:t>
      </w:r>
      <w:r w:rsidR="00E27041" w:rsidRPr="00D83C8B">
        <w:rPr>
          <w:rFonts w:cs="Times New Roman"/>
        </w:rPr>
        <w:t xml:space="preserve">Roger Thompson (guest), </w:t>
      </w:r>
      <w:proofErr w:type="spellStart"/>
      <w:r w:rsidR="004500BF" w:rsidRPr="00D83C8B">
        <w:rPr>
          <w:rFonts w:cs="Times New Roman"/>
        </w:rPr>
        <w:t>Chloé</w:t>
      </w:r>
      <w:proofErr w:type="spellEnd"/>
      <w:r w:rsidR="004500BF" w:rsidRPr="00D83C8B">
        <w:rPr>
          <w:rFonts w:cs="Times New Roman"/>
        </w:rPr>
        <w:t xml:space="preserve"> Webster</w:t>
      </w:r>
      <w:r w:rsidR="003C7C4F" w:rsidRPr="00D83C8B">
        <w:rPr>
          <w:rFonts w:cs="Times New Roman"/>
        </w:rPr>
        <w:t>,</w:t>
      </w:r>
      <w:r w:rsidR="009764DF" w:rsidRPr="00D83C8B">
        <w:rPr>
          <w:rFonts w:cs="Times New Roman"/>
        </w:rPr>
        <w:t xml:space="preserve"> </w:t>
      </w:r>
      <w:r w:rsidR="004500BF" w:rsidRPr="00D83C8B">
        <w:rPr>
          <w:rFonts w:cs="Times New Roman"/>
        </w:rPr>
        <w:t>Kris Winter (co-chair)</w:t>
      </w:r>
      <w:r w:rsidR="002951DF" w:rsidRPr="00D83C8B">
        <w:rPr>
          <w:rFonts w:cs="Times New Roman"/>
        </w:rPr>
        <w:t>, Ben Young</w:t>
      </w:r>
      <w:r w:rsidR="00730733" w:rsidRPr="00D83C8B">
        <w:rPr>
          <w:rFonts w:cs="Times New Roman"/>
        </w:rPr>
        <w:t>.</w:t>
      </w:r>
    </w:p>
    <w:p w14:paraId="7F7AEB7A" w14:textId="4586F8AC" w:rsidR="00AC5DAC" w:rsidRDefault="00AC5DAC" w:rsidP="00AC5DAC">
      <w:pPr>
        <w:rPr>
          <w:rFonts w:cs="Times New Roman"/>
        </w:rPr>
      </w:pPr>
      <w:r w:rsidRPr="00765D24">
        <w:rPr>
          <w:rFonts w:cs="Times New Roman"/>
          <w:b/>
        </w:rPr>
        <w:t>Staff</w:t>
      </w:r>
      <w:r w:rsidRPr="00765D24">
        <w:rPr>
          <w:rFonts w:cs="Times New Roman"/>
        </w:rPr>
        <w:t xml:space="preserve">: Debbie Sharp (Office of the </w:t>
      </w:r>
      <w:r w:rsidR="009764DF">
        <w:rPr>
          <w:rFonts w:cs="Times New Roman"/>
        </w:rPr>
        <w:t>S</w:t>
      </w:r>
      <w:r w:rsidRPr="00765D24">
        <w:rPr>
          <w:rFonts w:cs="Times New Roman"/>
        </w:rPr>
        <w:t>enior VPFA</w:t>
      </w:r>
      <w:r w:rsidR="006B0F47">
        <w:rPr>
          <w:rFonts w:cs="Times New Roman"/>
        </w:rPr>
        <w:t>, online</w:t>
      </w:r>
      <w:r w:rsidRPr="00765D24">
        <w:rPr>
          <w:rFonts w:cs="Times New Roman"/>
        </w:rPr>
        <w:t>)</w:t>
      </w:r>
      <w:r w:rsidR="00954894">
        <w:rPr>
          <w:rFonts w:cs="Times New Roman"/>
        </w:rPr>
        <w:t>.</w:t>
      </w:r>
    </w:p>
    <w:p w14:paraId="475E4D77" w14:textId="4FCC312F" w:rsidR="00E27041" w:rsidRDefault="00AC5DAC" w:rsidP="00AC5DAC">
      <w:pPr>
        <w:rPr>
          <w:rFonts w:eastAsia="Times New Roman" w:cs="Times New Roman"/>
          <w:b/>
          <w:bCs/>
        </w:rPr>
      </w:pPr>
      <w:r w:rsidRPr="00495738">
        <w:rPr>
          <w:rFonts w:eastAsia="Times New Roman" w:cs="Times New Roman"/>
          <w:b/>
          <w:bCs/>
        </w:rPr>
        <w:t>Introductions</w:t>
      </w:r>
      <w:r w:rsidRPr="00A07ED3">
        <w:rPr>
          <w:rFonts w:eastAsia="Times New Roman" w:cs="Times New Roman"/>
          <w:bCs/>
        </w:rPr>
        <w:t xml:space="preserve">. </w:t>
      </w:r>
      <w:r w:rsidR="00A07ED3" w:rsidRPr="00A07ED3">
        <w:rPr>
          <w:rFonts w:eastAsia="Times New Roman" w:cs="Times New Roman"/>
          <w:bCs/>
        </w:rPr>
        <w:t>Jamie Moffitt, senior vice president for finance and administration and chief financial officer</w:t>
      </w:r>
      <w:r w:rsidR="009D3AE3">
        <w:rPr>
          <w:rFonts w:eastAsia="Times New Roman" w:cs="Times New Roman"/>
          <w:bCs/>
        </w:rPr>
        <w:t>,</w:t>
      </w:r>
      <w:r w:rsidR="00A07ED3" w:rsidRPr="00A07ED3">
        <w:rPr>
          <w:rFonts w:eastAsia="Times New Roman" w:cs="Times New Roman"/>
          <w:bCs/>
        </w:rPr>
        <w:t xml:space="preserve"> welcomed the group and invited </w:t>
      </w:r>
      <w:r w:rsidR="009D3AE3">
        <w:rPr>
          <w:rFonts w:eastAsia="Times New Roman" w:cs="Times New Roman"/>
          <w:bCs/>
        </w:rPr>
        <w:t xml:space="preserve">participants </w:t>
      </w:r>
      <w:r w:rsidR="00A07ED3" w:rsidRPr="00A07ED3">
        <w:rPr>
          <w:rFonts w:eastAsia="Times New Roman" w:cs="Times New Roman"/>
          <w:bCs/>
        </w:rPr>
        <w:t>to introduce themselves.</w:t>
      </w:r>
    </w:p>
    <w:p w14:paraId="54E75E1F" w14:textId="47D0E738" w:rsidR="00E27041" w:rsidRDefault="00E27041" w:rsidP="00E27041">
      <w:pPr>
        <w:rPr>
          <w:rFonts w:ascii="Calibri" w:eastAsia="Calibri" w:hAnsi="Calibri" w:cs="Calibri"/>
        </w:rPr>
      </w:pPr>
      <w:r>
        <w:rPr>
          <w:rFonts w:ascii="Calibri" w:eastAsia="Calibri" w:hAnsi="Calibri" w:cs="Calibri"/>
          <w:b/>
        </w:rPr>
        <w:t>Recruitment</w:t>
      </w:r>
      <w:r w:rsidR="00731219" w:rsidRPr="00530A4A">
        <w:rPr>
          <w:rFonts w:ascii="Calibri" w:eastAsia="Calibri" w:hAnsi="Calibri" w:cs="Calibri"/>
        </w:rPr>
        <w:t xml:space="preserve">. </w:t>
      </w:r>
      <w:r w:rsidR="00A07ED3">
        <w:rPr>
          <w:rFonts w:ascii="Calibri" w:eastAsia="Calibri" w:hAnsi="Calibri" w:cs="Calibri"/>
        </w:rPr>
        <w:t xml:space="preserve">Roger Thompson, vice president for student services and enrollment management, provided updates on current recruitment efforts at the university and insight into the potential enrollment landscape for undergraduate students in the coming academic year. He shared that National College Decision Day is May 1, </w:t>
      </w:r>
      <w:r w:rsidR="009D3AE3">
        <w:rPr>
          <w:rFonts w:ascii="Calibri" w:eastAsia="Calibri" w:hAnsi="Calibri" w:cs="Calibri"/>
        </w:rPr>
        <w:t xml:space="preserve">noting the difficultly of anticipating students’ </w:t>
      </w:r>
      <w:r w:rsidR="00A07ED3">
        <w:rPr>
          <w:rFonts w:ascii="Calibri" w:eastAsia="Calibri" w:hAnsi="Calibri" w:cs="Calibri"/>
        </w:rPr>
        <w:t xml:space="preserve">enrollment decisions </w:t>
      </w:r>
      <w:r w:rsidR="009D3AE3">
        <w:rPr>
          <w:rFonts w:ascii="Calibri" w:eastAsia="Calibri" w:hAnsi="Calibri" w:cs="Calibri"/>
        </w:rPr>
        <w:t>months ahead of that date</w:t>
      </w:r>
      <w:r w:rsidR="00A07ED3">
        <w:rPr>
          <w:rFonts w:ascii="Calibri" w:eastAsia="Calibri" w:hAnsi="Calibri" w:cs="Calibri"/>
        </w:rPr>
        <w:t xml:space="preserve">. Thompson provided insight into a number </w:t>
      </w:r>
      <w:r w:rsidR="009D3AE3">
        <w:rPr>
          <w:rFonts w:ascii="Calibri" w:eastAsia="Calibri" w:hAnsi="Calibri" w:cs="Calibri"/>
        </w:rPr>
        <w:t xml:space="preserve">of </w:t>
      </w:r>
      <w:r w:rsidR="00A07ED3">
        <w:rPr>
          <w:rFonts w:ascii="Calibri" w:eastAsia="Calibri" w:hAnsi="Calibri" w:cs="Calibri"/>
        </w:rPr>
        <w:t xml:space="preserve">current </w:t>
      </w:r>
      <w:r w:rsidR="005C75BB">
        <w:rPr>
          <w:rFonts w:ascii="Calibri" w:eastAsia="Calibri" w:hAnsi="Calibri" w:cs="Calibri"/>
        </w:rPr>
        <w:t>challenges</w:t>
      </w:r>
      <w:r w:rsidR="00A07ED3">
        <w:rPr>
          <w:rFonts w:ascii="Calibri" w:eastAsia="Calibri" w:hAnsi="Calibri" w:cs="Calibri"/>
        </w:rPr>
        <w:t>, including delays in the Department of Education releasing</w:t>
      </w:r>
      <w:r w:rsidR="005C75BB">
        <w:rPr>
          <w:rFonts w:ascii="Calibri" w:eastAsia="Calibri" w:hAnsi="Calibri" w:cs="Calibri"/>
        </w:rPr>
        <w:t xml:space="preserve"> the</w:t>
      </w:r>
      <w:r w:rsidR="00A07ED3">
        <w:rPr>
          <w:rFonts w:ascii="Calibri" w:eastAsia="Calibri" w:hAnsi="Calibri" w:cs="Calibri"/>
        </w:rPr>
        <w:t xml:space="preserve"> FAFSA </w:t>
      </w:r>
      <w:r w:rsidR="006E793C">
        <w:rPr>
          <w:rFonts w:ascii="Calibri" w:eastAsia="Calibri" w:hAnsi="Calibri" w:cs="Calibri"/>
        </w:rPr>
        <w:t>(Free Application for Federal Student Aid)</w:t>
      </w:r>
      <w:r w:rsidR="00A07ED3">
        <w:rPr>
          <w:rFonts w:ascii="Calibri" w:eastAsia="Calibri" w:hAnsi="Calibri" w:cs="Calibri"/>
        </w:rPr>
        <w:t xml:space="preserve">, the postponement of Scholars Recognition Day to March </w:t>
      </w:r>
      <w:r w:rsidR="00D611DF">
        <w:rPr>
          <w:rFonts w:ascii="Calibri" w:eastAsia="Calibri" w:hAnsi="Calibri" w:cs="Calibri"/>
        </w:rPr>
        <w:t xml:space="preserve">because </w:t>
      </w:r>
      <w:r w:rsidR="00A07ED3">
        <w:rPr>
          <w:rFonts w:ascii="Calibri" w:eastAsia="Calibri" w:hAnsi="Calibri" w:cs="Calibri"/>
        </w:rPr>
        <w:t xml:space="preserve">of the January ice storm, and increasing </w:t>
      </w:r>
      <w:r w:rsidR="00EF6D02">
        <w:rPr>
          <w:rFonts w:ascii="Calibri" w:eastAsia="Calibri" w:hAnsi="Calibri" w:cs="Calibri"/>
        </w:rPr>
        <w:t>competition from other institutions</w:t>
      </w:r>
      <w:r w:rsidR="00A07ED3">
        <w:rPr>
          <w:rFonts w:ascii="Calibri" w:eastAsia="Calibri" w:hAnsi="Calibri" w:cs="Calibri"/>
        </w:rPr>
        <w:t xml:space="preserve">. He also shared some positive </w:t>
      </w:r>
      <w:r w:rsidR="005C75BB">
        <w:rPr>
          <w:rFonts w:ascii="Calibri" w:eastAsia="Calibri" w:hAnsi="Calibri" w:cs="Calibri"/>
        </w:rPr>
        <w:t>factors</w:t>
      </w:r>
      <w:r w:rsidR="00A07ED3">
        <w:rPr>
          <w:rFonts w:ascii="Calibri" w:eastAsia="Calibri" w:hAnsi="Calibri" w:cs="Calibri"/>
        </w:rPr>
        <w:t xml:space="preserve">, including new scholarships offered by the UO, </w:t>
      </w:r>
      <w:r w:rsidR="006E793C">
        <w:rPr>
          <w:rFonts w:ascii="Calibri" w:eastAsia="Calibri" w:hAnsi="Calibri" w:cs="Calibri"/>
        </w:rPr>
        <w:t xml:space="preserve">the high quality of applicants, and </w:t>
      </w:r>
      <w:r w:rsidR="00A07ED3">
        <w:rPr>
          <w:rFonts w:ascii="Calibri" w:eastAsia="Calibri" w:hAnsi="Calibri" w:cs="Calibri"/>
        </w:rPr>
        <w:t xml:space="preserve">the </w:t>
      </w:r>
      <w:r w:rsidR="006E793C">
        <w:rPr>
          <w:rFonts w:ascii="Calibri" w:eastAsia="Calibri" w:hAnsi="Calibri" w:cs="Calibri"/>
        </w:rPr>
        <w:t xml:space="preserve">strength of the UO </w:t>
      </w:r>
      <w:r w:rsidR="00A07ED3">
        <w:rPr>
          <w:rFonts w:ascii="Calibri" w:eastAsia="Calibri" w:hAnsi="Calibri" w:cs="Calibri"/>
        </w:rPr>
        <w:t>recruitment team across the US</w:t>
      </w:r>
      <w:r w:rsidR="006E793C">
        <w:rPr>
          <w:rFonts w:ascii="Calibri" w:eastAsia="Calibri" w:hAnsi="Calibri" w:cs="Calibri"/>
        </w:rPr>
        <w:t xml:space="preserve"> </w:t>
      </w:r>
      <w:r w:rsidR="00A07ED3">
        <w:rPr>
          <w:rFonts w:ascii="Calibri" w:eastAsia="Calibri" w:hAnsi="Calibri" w:cs="Calibri"/>
        </w:rPr>
        <w:t>and internationally</w:t>
      </w:r>
      <w:r w:rsidR="006E793C">
        <w:rPr>
          <w:rFonts w:ascii="Calibri" w:eastAsia="Calibri" w:hAnsi="Calibri" w:cs="Calibri"/>
        </w:rPr>
        <w:t>.</w:t>
      </w:r>
    </w:p>
    <w:p w14:paraId="271E8C2F" w14:textId="38CD16FA" w:rsidR="006E793C" w:rsidRDefault="006E793C" w:rsidP="00E27041">
      <w:pPr>
        <w:rPr>
          <w:rFonts w:ascii="Calibri" w:eastAsia="Calibri" w:hAnsi="Calibri" w:cs="Calibri"/>
        </w:rPr>
      </w:pPr>
      <w:r>
        <w:rPr>
          <w:rFonts w:ascii="Calibri" w:eastAsia="Calibri" w:hAnsi="Calibri" w:cs="Calibri"/>
        </w:rPr>
        <w:t xml:space="preserve">TFAB members asked questions about international enrollment trends, when </w:t>
      </w:r>
      <w:r w:rsidR="00EF6D02">
        <w:rPr>
          <w:rFonts w:ascii="Calibri" w:eastAsia="Calibri" w:hAnsi="Calibri" w:cs="Calibri"/>
        </w:rPr>
        <w:t xml:space="preserve">competitors </w:t>
      </w:r>
      <w:r>
        <w:rPr>
          <w:rFonts w:ascii="Calibri" w:eastAsia="Calibri" w:hAnsi="Calibri" w:cs="Calibri"/>
        </w:rPr>
        <w:t>release admissions letters, current levels of resident and non-resident applications, and trends in applicants’ intended majors. The group also discussed the UO’s competitive advantages, when the university’s recruitment targets were set, how FAFSA information affects state aid and the PathwayOregon program, and the current market conditions for comparator schools.</w:t>
      </w:r>
    </w:p>
    <w:p w14:paraId="7EF69FFC" w14:textId="2EF73556" w:rsidR="00F1643C" w:rsidRDefault="00C45586" w:rsidP="00F1643C">
      <w:pPr>
        <w:rPr>
          <w:color w:val="000000" w:themeColor="text1"/>
        </w:rPr>
      </w:pPr>
      <w:r>
        <w:rPr>
          <w:b/>
          <w:bCs/>
        </w:rPr>
        <w:t>T</w:t>
      </w:r>
      <w:r w:rsidR="00E27041">
        <w:rPr>
          <w:b/>
          <w:bCs/>
        </w:rPr>
        <w:t>uition and Fee Policy Book</w:t>
      </w:r>
      <w:r w:rsidR="00E27041" w:rsidRPr="006E793C">
        <w:rPr>
          <w:bCs/>
        </w:rPr>
        <w:t>.</w:t>
      </w:r>
      <w:r w:rsidR="006E793C">
        <w:rPr>
          <w:bCs/>
        </w:rPr>
        <w:t xml:space="preserve"> JP Monroe</w:t>
      </w:r>
      <w:r w:rsidR="00F1643C">
        <w:rPr>
          <w:bCs/>
        </w:rPr>
        <w:t>, director of institutional research,</w:t>
      </w:r>
      <w:r w:rsidR="006E793C">
        <w:rPr>
          <w:bCs/>
        </w:rPr>
        <w:t xml:space="preserve"> shared a redlined version of the UO </w:t>
      </w:r>
      <w:r w:rsidR="00F1643C">
        <w:rPr>
          <w:bCs/>
        </w:rPr>
        <w:t>Tuition and Fee Policy Book. He explained that the fee book esta</w:t>
      </w:r>
      <w:r>
        <w:rPr>
          <w:color w:val="000000" w:themeColor="text1"/>
        </w:rPr>
        <w:t xml:space="preserve">blishes </w:t>
      </w:r>
      <w:r w:rsidR="00F1643C">
        <w:rPr>
          <w:color w:val="000000" w:themeColor="text1"/>
        </w:rPr>
        <w:t xml:space="preserve">the </w:t>
      </w:r>
      <w:r>
        <w:rPr>
          <w:color w:val="000000" w:themeColor="text1"/>
        </w:rPr>
        <w:t xml:space="preserve">authority to set tuition and fees and </w:t>
      </w:r>
      <w:r w:rsidR="00F1643C">
        <w:rPr>
          <w:color w:val="000000" w:themeColor="text1"/>
        </w:rPr>
        <w:t xml:space="preserve">indicates the Board of Trustees as that authority. The group discussed the updates to the fee book, noting that </w:t>
      </w:r>
      <w:r w:rsidR="00EF6D02">
        <w:rPr>
          <w:color w:val="000000" w:themeColor="text1"/>
        </w:rPr>
        <w:t>if there are additional</w:t>
      </w:r>
      <w:r w:rsidR="00F1643C">
        <w:rPr>
          <w:color w:val="000000" w:themeColor="text1"/>
        </w:rPr>
        <w:t xml:space="preserve"> questions and suggested edits</w:t>
      </w:r>
      <w:r w:rsidR="00EF6D02">
        <w:rPr>
          <w:color w:val="000000" w:themeColor="text1"/>
        </w:rPr>
        <w:t xml:space="preserve"> to provide those to JP in the near future</w:t>
      </w:r>
      <w:r w:rsidR="00F1643C">
        <w:rPr>
          <w:color w:val="000000" w:themeColor="text1"/>
        </w:rPr>
        <w:t xml:space="preserve">. The redlined version of the fee book-as of January 31, 2024—is available </w:t>
      </w:r>
      <w:hyperlink r:id="rId11" w:history="1">
        <w:r w:rsidR="00F1643C" w:rsidRPr="00F1643C">
          <w:rPr>
            <w:rStyle w:val="Hyperlink"/>
          </w:rPr>
          <w:t>online</w:t>
        </w:r>
      </w:hyperlink>
      <w:r w:rsidR="00F1643C">
        <w:rPr>
          <w:color w:val="000000" w:themeColor="text1"/>
        </w:rPr>
        <w:t>.</w:t>
      </w:r>
    </w:p>
    <w:p w14:paraId="12506174" w14:textId="6DC3D4E4" w:rsidR="00D35187" w:rsidRDefault="00C45586" w:rsidP="00117466">
      <w:pPr>
        <w:rPr>
          <w:color w:val="000000" w:themeColor="text1"/>
        </w:rPr>
      </w:pPr>
      <w:r>
        <w:rPr>
          <w:b/>
          <w:color w:val="000000" w:themeColor="text1"/>
        </w:rPr>
        <w:t>Graduate tuition</w:t>
      </w:r>
      <w:r w:rsidR="00F1643C" w:rsidRPr="00F1643C">
        <w:rPr>
          <w:color w:val="000000" w:themeColor="text1"/>
        </w:rPr>
        <w:t xml:space="preserve">. </w:t>
      </w:r>
      <w:r w:rsidR="00F1643C">
        <w:rPr>
          <w:rFonts w:ascii="Calibri" w:eastAsia="Calibri" w:hAnsi="Calibri" w:cs="Calibri"/>
        </w:rPr>
        <w:t xml:space="preserve">Brian Fox, assistant vice president of budget, financial analysis, and data analytics, </w:t>
      </w:r>
      <w:proofErr w:type="gramStart"/>
      <w:r w:rsidR="00F1643C">
        <w:rPr>
          <w:rFonts w:ascii="Calibri" w:eastAsia="Calibri" w:hAnsi="Calibri" w:cs="Calibri"/>
        </w:rPr>
        <w:t>shared</w:t>
      </w:r>
      <w:proofErr w:type="gramEnd"/>
      <w:r w:rsidR="00F1643C">
        <w:rPr>
          <w:rFonts w:ascii="Calibri" w:eastAsia="Calibri" w:hAnsi="Calibri" w:cs="Calibri"/>
        </w:rPr>
        <w:t xml:space="preserve"> </w:t>
      </w:r>
      <w:r w:rsidR="00740F65">
        <w:rPr>
          <w:rFonts w:ascii="Calibri" w:eastAsia="Calibri" w:hAnsi="Calibri" w:cs="Calibri"/>
        </w:rPr>
        <w:t>some updates on graduate tuition structure changes. These changes involved p</w:t>
      </w:r>
      <w:bookmarkStart w:id="0" w:name="_GoBack"/>
      <w:bookmarkEnd w:id="0"/>
      <w:r w:rsidR="00740F65">
        <w:rPr>
          <w:rFonts w:ascii="Calibri" w:eastAsia="Calibri" w:hAnsi="Calibri" w:cs="Calibri"/>
        </w:rPr>
        <w:t xml:space="preserve">rograms </w:t>
      </w:r>
      <w:r w:rsidR="00D548DA">
        <w:rPr>
          <w:rFonts w:ascii="Calibri" w:eastAsia="Calibri" w:hAnsi="Calibri" w:cs="Calibri"/>
        </w:rPr>
        <w:t xml:space="preserve">reducing </w:t>
      </w:r>
      <w:r w:rsidR="00740F65">
        <w:rPr>
          <w:rFonts w:ascii="Calibri" w:eastAsia="Calibri" w:hAnsi="Calibri" w:cs="Calibri"/>
        </w:rPr>
        <w:t>their higher step-in first credit cost</w:t>
      </w:r>
      <w:r w:rsidR="00EF6D02">
        <w:rPr>
          <w:rFonts w:ascii="Calibri" w:eastAsia="Calibri" w:hAnsi="Calibri" w:cs="Calibri"/>
        </w:rPr>
        <w:t xml:space="preserve"> but keeping full</w:t>
      </w:r>
      <w:r w:rsidR="00CF759E">
        <w:rPr>
          <w:rFonts w:ascii="Calibri" w:eastAsia="Calibri" w:hAnsi="Calibri" w:cs="Calibri"/>
        </w:rPr>
        <w:t>-</w:t>
      </w:r>
      <w:r w:rsidR="00EF6D02">
        <w:rPr>
          <w:rFonts w:ascii="Calibri" w:eastAsia="Calibri" w:hAnsi="Calibri" w:cs="Calibri"/>
        </w:rPr>
        <w:t xml:space="preserve">time tuition at or below </w:t>
      </w:r>
      <w:r w:rsidR="008534EE">
        <w:rPr>
          <w:rFonts w:ascii="Calibri" w:eastAsia="Calibri" w:hAnsi="Calibri" w:cs="Calibri"/>
        </w:rPr>
        <w:t xml:space="preserve">a </w:t>
      </w:r>
      <w:r w:rsidR="00EF6D02">
        <w:rPr>
          <w:rFonts w:ascii="Calibri" w:eastAsia="Calibri" w:hAnsi="Calibri" w:cs="Calibri"/>
        </w:rPr>
        <w:t>3% increase</w:t>
      </w:r>
      <w:r w:rsidR="00740F65">
        <w:rPr>
          <w:rFonts w:ascii="Calibri" w:eastAsia="Calibri" w:hAnsi="Calibri" w:cs="Calibri"/>
        </w:rPr>
        <w:t xml:space="preserve">. The group discussed how many students would be affected by the changes, if there </w:t>
      </w:r>
      <w:proofErr w:type="gramStart"/>
      <w:r w:rsidR="00740F65">
        <w:rPr>
          <w:rFonts w:ascii="Calibri" w:eastAsia="Calibri" w:hAnsi="Calibri" w:cs="Calibri"/>
        </w:rPr>
        <w:t>are</w:t>
      </w:r>
      <w:proofErr w:type="gramEnd"/>
      <w:r w:rsidR="00740F65">
        <w:rPr>
          <w:rFonts w:ascii="Calibri" w:eastAsia="Calibri" w:hAnsi="Calibri" w:cs="Calibri"/>
        </w:rPr>
        <w:t xml:space="preserve"> graduate programs </w:t>
      </w:r>
      <w:r w:rsidR="00D548DA">
        <w:rPr>
          <w:rFonts w:ascii="Calibri" w:eastAsia="Calibri" w:hAnsi="Calibri" w:cs="Calibri"/>
        </w:rPr>
        <w:t xml:space="preserve">retaining </w:t>
      </w:r>
      <w:r w:rsidR="00740F65">
        <w:rPr>
          <w:rFonts w:ascii="Calibri" w:eastAsia="Calibri" w:hAnsi="Calibri" w:cs="Calibri"/>
        </w:rPr>
        <w:t xml:space="preserve">high step-in costs, and how the university is trying to achieve increased uniformity in graduate tuition structures across the university. </w:t>
      </w:r>
      <w:r w:rsidR="00740F65">
        <w:rPr>
          <w:color w:val="000000" w:themeColor="text1"/>
        </w:rPr>
        <w:t xml:space="preserve">An overview of the graduate tuition structure changes is available </w:t>
      </w:r>
      <w:hyperlink r:id="rId12" w:history="1">
        <w:r w:rsidR="00740F65" w:rsidRPr="00740F65">
          <w:rPr>
            <w:rStyle w:val="Hyperlink"/>
          </w:rPr>
          <w:t>online</w:t>
        </w:r>
      </w:hyperlink>
      <w:r w:rsidR="00740F65">
        <w:rPr>
          <w:color w:val="000000" w:themeColor="text1"/>
        </w:rPr>
        <w:t>.</w:t>
      </w:r>
    </w:p>
    <w:p w14:paraId="50FB761B" w14:textId="288D469C" w:rsidR="00D35187" w:rsidRDefault="001C1026" w:rsidP="00740F65">
      <w:pPr>
        <w:rPr>
          <w:rFonts w:ascii="Calibri" w:eastAsia="Calibri" w:hAnsi="Calibri" w:cs="Calibri"/>
        </w:rPr>
      </w:pPr>
      <w:r w:rsidRPr="001C1026">
        <w:rPr>
          <w:rFonts w:ascii="Calibri" w:eastAsia="Calibri" w:hAnsi="Calibri" w:cs="Calibri"/>
          <w:b/>
        </w:rPr>
        <w:lastRenderedPageBreak/>
        <w:t>Undergraduate tuition</w:t>
      </w:r>
      <w:r>
        <w:rPr>
          <w:rFonts w:ascii="Calibri" w:eastAsia="Calibri" w:hAnsi="Calibri" w:cs="Calibri"/>
        </w:rPr>
        <w:t xml:space="preserve">. </w:t>
      </w:r>
      <w:r w:rsidR="00740F65">
        <w:rPr>
          <w:rFonts w:ascii="Calibri" w:eastAsia="Calibri" w:hAnsi="Calibri" w:cs="Calibri"/>
        </w:rPr>
        <w:t xml:space="preserve">Co-chair Moffitt shared </w:t>
      </w:r>
      <w:r w:rsidR="00D548DA">
        <w:rPr>
          <w:rFonts w:ascii="Calibri" w:eastAsia="Calibri" w:hAnsi="Calibri" w:cs="Calibri"/>
        </w:rPr>
        <w:t xml:space="preserve">an overview of </w:t>
      </w:r>
      <w:r w:rsidR="00740F65">
        <w:rPr>
          <w:rFonts w:ascii="Calibri" w:eastAsia="Calibri" w:hAnsi="Calibri" w:cs="Calibri"/>
        </w:rPr>
        <w:t xml:space="preserve">the TFAB recommendations memo process as a reminder for members. Fox then shared the tuition calculator and worked with the group to discuss a range of different scenarios and variables for undergraduate tuition in the 2024-2025 academic year. </w:t>
      </w:r>
    </w:p>
    <w:p w14:paraId="16036456" w14:textId="1884669F" w:rsidR="00740F65" w:rsidRDefault="00740F65" w:rsidP="00740F65">
      <w:pPr>
        <w:rPr>
          <w:rFonts w:ascii="Calibri" w:eastAsia="Calibri" w:hAnsi="Calibri" w:cs="Calibri"/>
        </w:rPr>
      </w:pPr>
      <w:r>
        <w:rPr>
          <w:rFonts w:ascii="Calibri" w:eastAsia="Calibri" w:hAnsi="Calibri" w:cs="Calibri"/>
        </w:rPr>
        <w:t xml:space="preserve">The group discussed the high level of uncertainty </w:t>
      </w:r>
      <w:r w:rsidR="005C75BB">
        <w:rPr>
          <w:rFonts w:ascii="Calibri" w:eastAsia="Calibri" w:hAnsi="Calibri" w:cs="Calibri"/>
        </w:rPr>
        <w:t xml:space="preserve">around </w:t>
      </w:r>
      <w:r w:rsidR="00D548DA">
        <w:rPr>
          <w:rFonts w:ascii="Calibri" w:eastAsia="Calibri" w:hAnsi="Calibri" w:cs="Calibri"/>
        </w:rPr>
        <w:t>enrollment and the economy</w:t>
      </w:r>
      <w:r>
        <w:rPr>
          <w:rFonts w:ascii="Calibri" w:eastAsia="Calibri" w:hAnsi="Calibri" w:cs="Calibri"/>
        </w:rPr>
        <w:t xml:space="preserve">, the importance of not pricing tuition higher than prevailing market conditions, the danger of </w:t>
      </w:r>
      <w:r w:rsidR="00D548DA">
        <w:rPr>
          <w:rFonts w:ascii="Calibri" w:eastAsia="Calibri" w:hAnsi="Calibri" w:cs="Calibri"/>
        </w:rPr>
        <w:t xml:space="preserve">recommending </w:t>
      </w:r>
      <w:r>
        <w:rPr>
          <w:rFonts w:ascii="Calibri" w:eastAsia="Calibri" w:hAnsi="Calibri" w:cs="Calibri"/>
        </w:rPr>
        <w:t xml:space="preserve">tuition </w:t>
      </w:r>
      <w:r w:rsidR="00D548DA">
        <w:rPr>
          <w:rFonts w:ascii="Calibri" w:eastAsia="Calibri" w:hAnsi="Calibri" w:cs="Calibri"/>
        </w:rPr>
        <w:t xml:space="preserve">rates </w:t>
      </w:r>
      <w:r>
        <w:rPr>
          <w:rFonts w:ascii="Calibri" w:eastAsia="Calibri" w:hAnsi="Calibri" w:cs="Calibri"/>
        </w:rPr>
        <w:t>higher than students can manage, the reality of increasing costs across the university, and the desire to keep higher education financially accessible.</w:t>
      </w:r>
    </w:p>
    <w:p w14:paraId="5C766C9F" w14:textId="6BD9E203" w:rsidR="00FF17E4" w:rsidRDefault="00AC5DAC" w:rsidP="00354FF6">
      <w:pPr>
        <w:tabs>
          <w:tab w:val="left" w:pos="2514"/>
        </w:tabs>
        <w:rPr>
          <w:rFonts w:ascii="Calibri" w:eastAsia="Calibri" w:hAnsi="Calibri" w:cs="Calibri"/>
        </w:rPr>
      </w:pPr>
      <w:r w:rsidRPr="00765D24">
        <w:rPr>
          <w:b/>
        </w:rPr>
        <w:t>Adjournment</w:t>
      </w:r>
      <w:r w:rsidRPr="00765D24">
        <w:t xml:space="preserve">. </w:t>
      </w:r>
      <w:r w:rsidRPr="00765D24">
        <w:rPr>
          <w:rFonts w:ascii="Calibri" w:eastAsia="Calibri" w:hAnsi="Calibri" w:cs="Calibri"/>
        </w:rPr>
        <w:t xml:space="preserve">The meeting adjourned </w:t>
      </w:r>
      <w:r w:rsidRPr="00BA3DA7">
        <w:rPr>
          <w:rFonts w:ascii="Calibri" w:eastAsia="Calibri" w:hAnsi="Calibri" w:cs="Calibri"/>
        </w:rPr>
        <w:t xml:space="preserve">at </w:t>
      </w:r>
      <w:r w:rsidR="008564B5" w:rsidRPr="008F72C6">
        <w:rPr>
          <w:rFonts w:ascii="Calibri" w:eastAsia="Calibri" w:hAnsi="Calibri" w:cs="Calibri"/>
        </w:rPr>
        <w:t>4:29</w:t>
      </w:r>
      <w:r w:rsidR="006B6EFA" w:rsidRPr="008F72C6">
        <w:rPr>
          <w:rFonts w:ascii="Calibri" w:eastAsia="Calibri" w:hAnsi="Calibri" w:cs="Calibri"/>
        </w:rPr>
        <w:t xml:space="preserve"> p.m.</w:t>
      </w:r>
    </w:p>
    <w:p w14:paraId="70A9E295" w14:textId="77777777" w:rsidR="001150DB" w:rsidRPr="00354FF6" w:rsidRDefault="001150DB" w:rsidP="00354FF6">
      <w:pPr>
        <w:tabs>
          <w:tab w:val="left" w:pos="2514"/>
        </w:tabs>
        <w:rPr>
          <w:rFonts w:ascii="Calibri" w:eastAsia="Calibri" w:hAnsi="Calibri" w:cs="Calibri"/>
        </w:rPr>
      </w:pPr>
    </w:p>
    <w:sectPr w:rsidR="001150DB" w:rsidRPr="00354FF6" w:rsidSect="00787D7A">
      <w:footerReference w:type="default" r:id="rId13"/>
      <w:pgSz w:w="12240" w:h="15840"/>
      <w:pgMar w:top="1260" w:right="1260" w:bottom="1260" w:left="1440" w:header="54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CFF9A" w14:textId="77777777" w:rsidR="00416ED0" w:rsidRDefault="00416ED0" w:rsidP="000F4585">
      <w:pPr>
        <w:spacing w:after="0" w:line="240" w:lineRule="auto"/>
      </w:pPr>
      <w:r>
        <w:separator/>
      </w:r>
    </w:p>
  </w:endnote>
  <w:endnote w:type="continuationSeparator" w:id="0">
    <w:p w14:paraId="4892AF90" w14:textId="77777777" w:rsidR="00416ED0" w:rsidRDefault="00416ED0"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39351"/>
      <w:docPartObj>
        <w:docPartGallery w:val="Page Numbers (Bottom of Page)"/>
        <w:docPartUnique/>
      </w:docPartObj>
    </w:sdtPr>
    <w:sdtEndPr/>
    <w:sdtContent>
      <w:p w14:paraId="54E5B644" w14:textId="1CD3D0BA" w:rsidR="00D35187" w:rsidRDefault="00D35187">
        <w:pPr>
          <w:pStyle w:val="Footer"/>
          <w:jc w:val="right"/>
        </w:pPr>
        <w:r>
          <w:t xml:space="preserve">Page | </w:t>
        </w:r>
        <w:r>
          <w:fldChar w:fldCharType="begin"/>
        </w:r>
        <w:r>
          <w:instrText xml:space="preserve"> PAGE   \* MERGEFORMAT </w:instrText>
        </w:r>
        <w:r>
          <w:fldChar w:fldCharType="separate"/>
        </w:r>
        <w:r w:rsidR="00CF759E">
          <w:rPr>
            <w:noProof/>
          </w:rPr>
          <w:t>2</w:t>
        </w:r>
        <w:r>
          <w:rPr>
            <w:noProof/>
          </w:rPr>
          <w:fldChar w:fldCharType="end"/>
        </w:r>
        <w:r>
          <w:t xml:space="preserve"> </w:t>
        </w:r>
      </w:p>
    </w:sdtContent>
  </w:sdt>
  <w:p w14:paraId="6333BB4E" w14:textId="77777777" w:rsidR="00D35187" w:rsidRDefault="00D3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17661" w14:textId="77777777" w:rsidR="00416ED0" w:rsidRDefault="00416ED0" w:rsidP="000F4585">
      <w:pPr>
        <w:spacing w:after="0" w:line="240" w:lineRule="auto"/>
      </w:pPr>
      <w:r>
        <w:separator/>
      </w:r>
    </w:p>
  </w:footnote>
  <w:footnote w:type="continuationSeparator" w:id="0">
    <w:p w14:paraId="04E3CC64" w14:textId="77777777" w:rsidR="00416ED0" w:rsidRDefault="00416ED0"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96460"/>
    <w:multiLevelType w:val="hybridMultilevel"/>
    <w:tmpl w:val="EE84FFB0"/>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0180E"/>
    <w:multiLevelType w:val="hybridMultilevel"/>
    <w:tmpl w:val="FC60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C52B63"/>
    <w:multiLevelType w:val="hybridMultilevel"/>
    <w:tmpl w:val="982E9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5058F"/>
    <w:multiLevelType w:val="hybridMultilevel"/>
    <w:tmpl w:val="7EF04B3E"/>
    <w:lvl w:ilvl="0" w:tplc="606EDFEA">
      <w:start w:val="54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B3FEB"/>
    <w:multiLevelType w:val="hybridMultilevel"/>
    <w:tmpl w:val="CD00071A"/>
    <w:lvl w:ilvl="0" w:tplc="518E1CF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44101"/>
    <w:multiLevelType w:val="hybridMultilevel"/>
    <w:tmpl w:val="17789448"/>
    <w:lvl w:ilvl="0" w:tplc="518E1CFA">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4B25CF9"/>
    <w:multiLevelType w:val="hybridMultilevel"/>
    <w:tmpl w:val="D0E453B4"/>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57F35"/>
    <w:multiLevelType w:val="hybridMultilevel"/>
    <w:tmpl w:val="AD5E6240"/>
    <w:lvl w:ilvl="0" w:tplc="DE5AE57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E750E1"/>
    <w:multiLevelType w:val="hybridMultilevel"/>
    <w:tmpl w:val="345293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57336C"/>
    <w:multiLevelType w:val="hybridMultilevel"/>
    <w:tmpl w:val="F078E978"/>
    <w:lvl w:ilvl="0" w:tplc="606EDF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0"/>
  </w:num>
  <w:num w:numId="5">
    <w:abstractNumId w:val="11"/>
  </w:num>
  <w:num w:numId="6">
    <w:abstractNumId w:val="2"/>
  </w:num>
  <w:num w:numId="7">
    <w:abstractNumId w:val="12"/>
  </w:num>
  <w:num w:numId="8">
    <w:abstractNumId w:val="9"/>
  </w:num>
  <w:num w:numId="9">
    <w:abstractNumId w:val="13"/>
  </w:num>
  <w:num w:numId="10">
    <w:abstractNumId w:val="3"/>
  </w:num>
  <w:num w:numId="11">
    <w:abstractNumId w:val="4"/>
  </w:num>
  <w:num w:numId="12">
    <w:abstractNumId w:val="8"/>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B9"/>
    <w:rsid w:val="00005C28"/>
    <w:rsid w:val="000122F5"/>
    <w:rsid w:val="000155E5"/>
    <w:rsid w:val="000234F7"/>
    <w:rsid w:val="00044DC4"/>
    <w:rsid w:val="000468D6"/>
    <w:rsid w:val="00076DE9"/>
    <w:rsid w:val="00077B4F"/>
    <w:rsid w:val="000A604D"/>
    <w:rsid w:val="000F4585"/>
    <w:rsid w:val="00104028"/>
    <w:rsid w:val="001127B1"/>
    <w:rsid w:val="001150DB"/>
    <w:rsid w:val="00117466"/>
    <w:rsid w:val="00134FC6"/>
    <w:rsid w:val="00137CF7"/>
    <w:rsid w:val="00141AB9"/>
    <w:rsid w:val="001559C6"/>
    <w:rsid w:val="00181B88"/>
    <w:rsid w:val="00191BC7"/>
    <w:rsid w:val="001A4E2F"/>
    <w:rsid w:val="001B4D9D"/>
    <w:rsid w:val="001C1026"/>
    <w:rsid w:val="001D0D0A"/>
    <w:rsid w:val="001D5DB2"/>
    <w:rsid w:val="001E3283"/>
    <w:rsid w:val="001E4759"/>
    <w:rsid w:val="001F001A"/>
    <w:rsid w:val="00214968"/>
    <w:rsid w:val="00221F2E"/>
    <w:rsid w:val="00233B64"/>
    <w:rsid w:val="00261441"/>
    <w:rsid w:val="002652A8"/>
    <w:rsid w:val="002951DF"/>
    <w:rsid w:val="002A433F"/>
    <w:rsid w:val="002A4938"/>
    <w:rsid w:val="002C1DBD"/>
    <w:rsid w:val="002E49DB"/>
    <w:rsid w:val="002E4CEE"/>
    <w:rsid w:val="003020B2"/>
    <w:rsid w:val="003206FE"/>
    <w:rsid w:val="00340EB9"/>
    <w:rsid w:val="00341D7E"/>
    <w:rsid w:val="003505C3"/>
    <w:rsid w:val="00354FF6"/>
    <w:rsid w:val="003701B0"/>
    <w:rsid w:val="003A399F"/>
    <w:rsid w:val="003A56C3"/>
    <w:rsid w:val="003C7C4F"/>
    <w:rsid w:val="003D0683"/>
    <w:rsid w:val="003F19B2"/>
    <w:rsid w:val="00412DDE"/>
    <w:rsid w:val="00416ED0"/>
    <w:rsid w:val="00422379"/>
    <w:rsid w:val="0043776B"/>
    <w:rsid w:val="00437B70"/>
    <w:rsid w:val="00442D16"/>
    <w:rsid w:val="004461B4"/>
    <w:rsid w:val="004500BF"/>
    <w:rsid w:val="0046373D"/>
    <w:rsid w:val="00467A95"/>
    <w:rsid w:val="004738C3"/>
    <w:rsid w:val="00476A83"/>
    <w:rsid w:val="004836F4"/>
    <w:rsid w:val="004B6BBA"/>
    <w:rsid w:val="004B73E8"/>
    <w:rsid w:val="004C643B"/>
    <w:rsid w:val="0050206E"/>
    <w:rsid w:val="00530A4A"/>
    <w:rsid w:val="00535927"/>
    <w:rsid w:val="00544E5E"/>
    <w:rsid w:val="00551E94"/>
    <w:rsid w:val="0056437E"/>
    <w:rsid w:val="005A1746"/>
    <w:rsid w:val="005A247B"/>
    <w:rsid w:val="005C75BB"/>
    <w:rsid w:val="00607854"/>
    <w:rsid w:val="00624551"/>
    <w:rsid w:val="00632717"/>
    <w:rsid w:val="0063635B"/>
    <w:rsid w:val="00660634"/>
    <w:rsid w:val="0067356B"/>
    <w:rsid w:val="006753F2"/>
    <w:rsid w:val="00684ABC"/>
    <w:rsid w:val="006923F3"/>
    <w:rsid w:val="00694411"/>
    <w:rsid w:val="006B0F47"/>
    <w:rsid w:val="006B3A8E"/>
    <w:rsid w:val="006B6EFA"/>
    <w:rsid w:val="006C6092"/>
    <w:rsid w:val="006E793C"/>
    <w:rsid w:val="0070530C"/>
    <w:rsid w:val="007070DA"/>
    <w:rsid w:val="00711775"/>
    <w:rsid w:val="00716A3A"/>
    <w:rsid w:val="007178A4"/>
    <w:rsid w:val="0072134C"/>
    <w:rsid w:val="00730733"/>
    <w:rsid w:val="00731219"/>
    <w:rsid w:val="00740F65"/>
    <w:rsid w:val="0074502D"/>
    <w:rsid w:val="00745EC9"/>
    <w:rsid w:val="00765B0F"/>
    <w:rsid w:val="00782F8F"/>
    <w:rsid w:val="00787988"/>
    <w:rsid w:val="00787D7A"/>
    <w:rsid w:val="007927E7"/>
    <w:rsid w:val="00796217"/>
    <w:rsid w:val="007B0509"/>
    <w:rsid w:val="007B676B"/>
    <w:rsid w:val="007E484F"/>
    <w:rsid w:val="007E52F4"/>
    <w:rsid w:val="007E5C25"/>
    <w:rsid w:val="00821A0B"/>
    <w:rsid w:val="00827334"/>
    <w:rsid w:val="008355A4"/>
    <w:rsid w:val="00843613"/>
    <w:rsid w:val="008534EE"/>
    <w:rsid w:val="008564B5"/>
    <w:rsid w:val="00856C46"/>
    <w:rsid w:val="00884C89"/>
    <w:rsid w:val="008B1B04"/>
    <w:rsid w:val="008B2B41"/>
    <w:rsid w:val="008C46D1"/>
    <w:rsid w:val="008F72C6"/>
    <w:rsid w:val="00900D28"/>
    <w:rsid w:val="00911C13"/>
    <w:rsid w:val="00916500"/>
    <w:rsid w:val="0092024B"/>
    <w:rsid w:val="00954894"/>
    <w:rsid w:val="00955066"/>
    <w:rsid w:val="009639BE"/>
    <w:rsid w:val="00974448"/>
    <w:rsid w:val="009764DF"/>
    <w:rsid w:val="00994606"/>
    <w:rsid w:val="009B157D"/>
    <w:rsid w:val="009B1FD1"/>
    <w:rsid w:val="009B4C49"/>
    <w:rsid w:val="009D3AE3"/>
    <w:rsid w:val="009D740E"/>
    <w:rsid w:val="009D75AC"/>
    <w:rsid w:val="009E5B3A"/>
    <w:rsid w:val="009F0396"/>
    <w:rsid w:val="00A06004"/>
    <w:rsid w:val="00A07ED3"/>
    <w:rsid w:val="00A1148D"/>
    <w:rsid w:val="00A406AF"/>
    <w:rsid w:val="00A5151C"/>
    <w:rsid w:val="00A57642"/>
    <w:rsid w:val="00A614BB"/>
    <w:rsid w:val="00AC5DAC"/>
    <w:rsid w:val="00B12599"/>
    <w:rsid w:val="00B13D2A"/>
    <w:rsid w:val="00B44C32"/>
    <w:rsid w:val="00B6193F"/>
    <w:rsid w:val="00B82F30"/>
    <w:rsid w:val="00BB58FA"/>
    <w:rsid w:val="00C01FA6"/>
    <w:rsid w:val="00C2543D"/>
    <w:rsid w:val="00C317D2"/>
    <w:rsid w:val="00C35611"/>
    <w:rsid w:val="00C45586"/>
    <w:rsid w:val="00C53B18"/>
    <w:rsid w:val="00C82B7E"/>
    <w:rsid w:val="00CF0007"/>
    <w:rsid w:val="00CF759E"/>
    <w:rsid w:val="00CF7AA5"/>
    <w:rsid w:val="00D14A53"/>
    <w:rsid w:val="00D208C6"/>
    <w:rsid w:val="00D35187"/>
    <w:rsid w:val="00D37E70"/>
    <w:rsid w:val="00D548DA"/>
    <w:rsid w:val="00D611DF"/>
    <w:rsid w:val="00D80788"/>
    <w:rsid w:val="00D83C8B"/>
    <w:rsid w:val="00D95D93"/>
    <w:rsid w:val="00DA5DA6"/>
    <w:rsid w:val="00DE3A94"/>
    <w:rsid w:val="00DF206C"/>
    <w:rsid w:val="00E266A5"/>
    <w:rsid w:val="00E27041"/>
    <w:rsid w:val="00E662CD"/>
    <w:rsid w:val="00E77C87"/>
    <w:rsid w:val="00E87252"/>
    <w:rsid w:val="00EC074C"/>
    <w:rsid w:val="00EE3014"/>
    <w:rsid w:val="00EF6D02"/>
    <w:rsid w:val="00F0639D"/>
    <w:rsid w:val="00F15F0C"/>
    <w:rsid w:val="00F1643C"/>
    <w:rsid w:val="00F22341"/>
    <w:rsid w:val="00F3281B"/>
    <w:rsid w:val="00F44781"/>
    <w:rsid w:val="00F531C9"/>
    <w:rsid w:val="00F5567A"/>
    <w:rsid w:val="00F64099"/>
    <w:rsid w:val="00F81EC5"/>
    <w:rsid w:val="00FA1D86"/>
    <w:rsid w:val="00FB4A19"/>
    <w:rsid w:val="00FB712E"/>
    <w:rsid w:val="00FC2297"/>
    <w:rsid w:val="00FC3274"/>
    <w:rsid w:val="00FD0651"/>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customStyle="1" w:styleId="ui-provider">
    <w:name w:val="ui-provider"/>
    <w:basedOn w:val="DefaultParagraphFont"/>
    <w:rsid w:val="00F81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9619">
      <w:bodyDiv w:val="1"/>
      <w:marLeft w:val="0"/>
      <w:marRight w:val="0"/>
      <w:marTop w:val="0"/>
      <w:marBottom w:val="0"/>
      <w:divBdr>
        <w:top w:val="none" w:sz="0" w:space="0" w:color="auto"/>
        <w:left w:val="none" w:sz="0" w:space="0" w:color="auto"/>
        <w:bottom w:val="none" w:sz="0" w:space="0" w:color="auto"/>
        <w:right w:val="none" w:sz="0" w:space="0" w:color="auto"/>
      </w:divBdr>
      <w:divsChild>
        <w:div w:id="310410719">
          <w:marLeft w:val="0"/>
          <w:marRight w:val="0"/>
          <w:marTop w:val="0"/>
          <w:marBottom w:val="0"/>
          <w:divBdr>
            <w:top w:val="none" w:sz="0" w:space="0" w:color="auto"/>
            <w:left w:val="none" w:sz="0" w:space="0" w:color="auto"/>
            <w:bottom w:val="none" w:sz="0" w:space="0" w:color="auto"/>
            <w:right w:val="none" w:sz="0" w:space="0" w:color="auto"/>
          </w:divBdr>
        </w:div>
        <w:div w:id="322700966">
          <w:marLeft w:val="0"/>
          <w:marRight w:val="0"/>
          <w:marTop w:val="0"/>
          <w:marBottom w:val="0"/>
          <w:divBdr>
            <w:top w:val="none" w:sz="0" w:space="0" w:color="auto"/>
            <w:left w:val="none" w:sz="0" w:space="0" w:color="auto"/>
            <w:bottom w:val="none" w:sz="0" w:space="0" w:color="auto"/>
            <w:right w:val="none" w:sz="0" w:space="0" w:color="auto"/>
          </w:divBdr>
        </w:div>
      </w:divsChild>
    </w:div>
    <w:div w:id="716929147">
      <w:bodyDiv w:val="1"/>
      <w:marLeft w:val="0"/>
      <w:marRight w:val="0"/>
      <w:marTop w:val="0"/>
      <w:marBottom w:val="0"/>
      <w:divBdr>
        <w:top w:val="none" w:sz="0" w:space="0" w:color="auto"/>
        <w:left w:val="none" w:sz="0" w:space="0" w:color="auto"/>
        <w:bottom w:val="none" w:sz="0" w:space="0" w:color="auto"/>
        <w:right w:val="none" w:sz="0" w:space="0" w:color="auto"/>
      </w:divBdr>
    </w:div>
    <w:div w:id="980042829">
      <w:bodyDiv w:val="1"/>
      <w:marLeft w:val="0"/>
      <w:marRight w:val="0"/>
      <w:marTop w:val="0"/>
      <w:marBottom w:val="0"/>
      <w:divBdr>
        <w:top w:val="none" w:sz="0" w:space="0" w:color="auto"/>
        <w:left w:val="none" w:sz="0" w:space="0" w:color="auto"/>
        <w:bottom w:val="none" w:sz="0" w:space="0" w:color="auto"/>
        <w:right w:val="none" w:sz="0" w:space="0" w:color="auto"/>
      </w:divBdr>
    </w:div>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ition.uoregon.edu/graduate-tuition-rate-structure-chang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ition.uoregon.edu/2024-25-uo-fee-book-redlined-31-jan-202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ition.uoregon.edu/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f927d1-3b29-411b-91ec-746641c710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7AE870660A64A91D3B6475D78C176" ma:contentTypeVersion="16" ma:contentTypeDescription="Create a new document." ma:contentTypeScope="" ma:versionID="8a7576e4143e9e1eeb9cfe4d7f23fc31">
  <xsd:schema xmlns:xsd="http://www.w3.org/2001/XMLSchema" xmlns:xs="http://www.w3.org/2001/XMLSchema" xmlns:p="http://schemas.microsoft.com/office/2006/metadata/properties" xmlns:ns3="09f927d1-3b29-411b-91ec-746641c7103b" xmlns:ns4="af99075a-ec8b-4265-a96f-e21518a1587f" targetNamespace="http://schemas.microsoft.com/office/2006/metadata/properties" ma:root="true" ma:fieldsID="60c8c02b0bb9cbad023c2cc4743630b6" ns3:_="" ns4:_="">
    <xsd:import namespace="09f927d1-3b29-411b-91ec-746641c7103b"/>
    <xsd:import namespace="af99075a-ec8b-4265-a96f-e21518a158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927d1-3b29-411b-91ec-746641c71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9075a-ec8b-4265-a96f-e21518a158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456C7-B883-4F74-8948-3535402D0607}">
  <ds:schemaRefs>
    <ds:schemaRef ds:uri="http://schemas.microsoft.com/office/2006/metadata/properties"/>
    <ds:schemaRef ds:uri="http://schemas.microsoft.com/office/infopath/2007/PartnerControls"/>
    <ds:schemaRef ds:uri="09f927d1-3b29-411b-91ec-746641c7103b"/>
  </ds:schemaRefs>
</ds:datastoreItem>
</file>

<file path=customXml/itemProps2.xml><?xml version="1.0" encoding="utf-8"?>
<ds:datastoreItem xmlns:ds="http://schemas.openxmlformats.org/officeDocument/2006/customXml" ds:itemID="{E09D1A18-E7C3-415D-B8ED-BA52053C6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927d1-3b29-411b-91ec-746641c7103b"/>
    <ds:schemaRef ds:uri="af99075a-ec8b-4265-a96f-e21518a15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EB47A-A71F-4D00-97FA-9CBEE55ED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5</cp:revision>
  <dcterms:created xsi:type="dcterms:W3CDTF">2024-02-05T01:06:00Z</dcterms:created>
  <dcterms:modified xsi:type="dcterms:W3CDTF">2024-02-05T17:48:00Z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0x0101008967AE870660A64A91D3B6475D78C176</vt:lpwstr>
  </property>
</Properties>
</file>