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B143" w14:textId="011E6024" w:rsidR="002342B2" w:rsidRPr="005D1666" w:rsidRDefault="002342B2" w:rsidP="002342B2">
      <w:pPr>
        <w:rPr>
          <w:b/>
          <w:bCs/>
          <w:sz w:val="22"/>
          <w:szCs w:val="22"/>
        </w:rPr>
      </w:pPr>
      <w:r w:rsidRPr="005D1666">
        <w:rPr>
          <w:b/>
          <w:bCs/>
          <w:sz w:val="22"/>
          <w:szCs w:val="22"/>
        </w:rPr>
        <w:t>To:</w:t>
      </w:r>
      <w:r w:rsidRPr="005D1666">
        <w:rPr>
          <w:b/>
          <w:bCs/>
          <w:sz w:val="22"/>
          <w:szCs w:val="22"/>
        </w:rPr>
        <w:tab/>
      </w:r>
      <w:r w:rsidR="0065313E" w:rsidRPr="005D1666">
        <w:rPr>
          <w:b/>
          <w:bCs/>
          <w:sz w:val="22"/>
          <w:szCs w:val="22"/>
        </w:rPr>
        <w:tab/>
      </w:r>
      <w:r w:rsidR="00A921AE">
        <w:rPr>
          <w:b/>
          <w:bCs/>
          <w:sz w:val="22"/>
          <w:szCs w:val="22"/>
        </w:rPr>
        <w:tab/>
      </w:r>
      <w:r w:rsidRPr="005D1666">
        <w:rPr>
          <w:b/>
          <w:bCs/>
          <w:sz w:val="22"/>
          <w:szCs w:val="22"/>
        </w:rPr>
        <w:t>Tuition and Fees Advisory Board</w:t>
      </w:r>
    </w:p>
    <w:p w14:paraId="44C02065" w14:textId="77777777" w:rsidR="002342B2" w:rsidRPr="005D1666" w:rsidRDefault="002342B2" w:rsidP="002342B2">
      <w:pPr>
        <w:rPr>
          <w:b/>
          <w:bCs/>
          <w:sz w:val="22"/>
          <w:szCs w:val="22"/>
        </w:rPr>
      </w:pPr>
    </w:p>
    <w:p w14:paraId="19A7A05B" w14:textId="0B3F3A2E" w:rsidR="002342B2" w:rsidRPr="005D1666" w:rsidRDefault="002342B2" w:rsidP="002342B2">
      <w:pPr>
        <w:rPr>
          <w:b/>
          <w:bCs/>
          <w:sz w:val="22"/>
          <w:szCs w:val="22"/>
        </w:rPr>
      </w:pPr>
      <w:r w:rsidRPr="005D1666">
        <w:rPr>
          <w:b/>
          <w:bCs/>
          <w:sz w:val="22"/>
          <w:szCs w:val="22"/>
        </w:rPr>
        <w:t>From:</w:t>
      </w:r>
      <w:r w:rsidR="00F0546B">
        <w:rPr>
          <w:b/>
          <w:bCs/>
          <w:sz w:val="22"/>
          <w:szCs w:val="22"/>
        </w:rPr>
        <w:tab/>
      </w:r>
      <w:r w:rsidR="00F0546B">
        <w:rPr>
          <w:b/>
          <w:bCs/>
          <w:sz w:val="22"/>
          <w:szCs w:val="22"/>
        </w:rPr>
        <w:tab/>
      </w:r>
      <w:r w:rsidRPr="005D1666">
        <w:rPr>
          <w:b/>
          <w:bCs/>
          <w:sz w:val="22"/>
          <w:szCs w:val="22"/>
        </w:rPr>
        <w:t>Bruce Blonigen, Edward Maletis Dean, Lundquist College of Business</w:t>
      </w:r>
    </w:p>
    <w:p w14:paraId="4EBF787B" w14:textId="77777777" w:rsidR="002342B2" w:rsidRPr="005D1666" w:rsidRDefault="002342B2" w:rsidP="002342B2">
      <w:pPr>
        <w:rPr>
          <w:b/>
          <w:bCs/>
          <w:sz w:val="22"/>
          <w:szCs w:val="22"/>
        </w:rPr>
      </w:pPr>
    </w:p>
    <w:p w14:paraId="227DF415" w14:textId="49F8C575" w:rsidR="002342B2" w:rsidRPr="005D1666" w:rsidRDefault="002342B2" w:rsidP="002342B2">
      <w:pPr>
        <w:rPr>
          <w:b/>
          <w:bCs/>
          <w:sz w:val="22"/>
          <w:szCs w:val="22"/>
        </w:rPr>
      </w:pPr>
      <w:r w:rsidRPr="005D1666">
        <w:rPr>
          <w:b/>
          <w:bCs/>
          <w:sz w:val="22"/>
          <w:szCs w:val="22"/>
        </w:rPr>
        <w:t>Date:</w:t>
      </w:r>
      <w:r w:rsidR="00F0546B">
        <w:rPr>
          <w:b/>
          <w:bCs/>
          <w:sz w:val="22"/>
          <w:szCs w:val="22"/>
        </w:rPr>
        <w:tab/>
      </w:r>
      <w:r w:rsidR="00F0546B">
        <w:rPr>
          <w:b/>
          <w:bCs/>
          <w:sz w:val="22"/>
          <w:szCs w:val="22"/>
        </w:rPr>
        <w:tab/>
      </w:r>
      <w:r w:rsidR="009A6E23">
        <w:rPr>
          <w:b/>
          <w:bCs/>
          <w:sz w:val="22"/>
          <w:szCs w:val="22"/>
        </w:rPr>
        <w:t>January 1</w:t>
      </w:r>
      <w:r w:rsidR="007E0B7E">
        <w:rPr>
          <w:b/>
          <w:bCs/>
          <w:sz w:val="22"/>
          <w:szCs w:val="22"/>
        </w:rPr>
        <w:t>0</w:t>
      </w:r>
      <w:r w:rsidR="00AF0795">
        <w:rPr>
          <w:b/>
          <w:bCs/>
          <w:sz w:val="22"/>
          <w:szCs w:val="22"/>
        </w:rPr>
        <w:t>, 202</w:t>
      </w:r>
      <w:r w:rsidR="009A6E23">
        <w:rPr>
          <w:b/>
          <w:bCs/>
          <w:sz w:val="22"/>
          <w:szCs w:val="22"/>
        </w:rPr>
        <w:t>6</w:t>
      </w:r>
    </w:p>
    <w:p w14:paraId="55098499" w14:textId="77777777" w:rsidR="002342B2" w:rsidRPr="005D1666" w:rsidRDefault="002342B2" w:rsidP="002342B2">
      <w:pPr>
        <w:rPr>
          <w:b/>
          <w:bCs/>
          <w:sz w:val="22"/>
          <w:szCs w:val="22"/>
        </w:rPr>
      </w:pPr>
    </w:p>
    <w:p w14:paraId="6930B98C" w14:textId="6CAE6316" w:rsidR="002342B2" w:rsidRPr="005D1666" w:rsidRDefault="002342B2" w:rsidP="002342B2">
      <w:pPr>
        <w:rPr>
          <w:b/>
          <w:bCs/>
          <w:sz w:val="22"/>
          <w:szCs w:val="22"/>
        </w:rPr>
      </w:pPr>
      <w:r w:rsidRPr="005D1666">
        <w:rPr>
          <w:b/>
          <w:bCs/>
          <w:sz w:val="22"/>
          <w:szCs w:val="22"/>
        </w:rPr>
        <w:t>Subject:</w:t>
      </w:r>
      <w:r w:rsidR="00F0546B">
        <w:rPr>
          <w:b/>
          <w:bCs/>
          <w:sz w:val="22"/>
          <w:szCs w:val="22"/>
        </w:rPr>
        <w:tab/>
      </w:r>
      <w:r w:rsidR="00F0546B">
        <w:rPr>
          <w:b/>
          <w:bCs/>
          <w:sz w:val="22"/>
          <w:szCs w:val="22"/>
        </w:rPr>
        <w:tab/>
      </w:r>
      <w:r w:rsidRPr="005D1666">
        <w:rPr>
          <w:b/>
          <w:bCs/>
          <w:sz w:val="22"/>
          <w:szCs w:val="22"/>
        </w:rPr>
        <w:t>Increasing Lundquist differential tuition from $30 to $50 per student credit hour</w:t>
      </w:r>
    </w:p>
    <w:p w14:paraId="17F52B02" w14:textId="77777777" w:rsidR="002342B2" w:rsidRPr="0065313E" w:rsidRDefault="002342B2">
      <w:pPr>
        <w:rPr>
          <w:b/>
          <w:bCs/>
          <w:sz w:val="22"/>
          <w:szCs w:val="22"/>
          <w:u w:val="single"/>
        </w:rPr>
      </w:pPr>
    </w:p>
    <w:p w14:paraId="549E94F2" w14:textId="77777777" w:rsidR="007D0FCB" w:rsidRDefault="007D0FCB">
      <w:pPr>
        <w:rPr>
          <w:b/>
          <w:bCs/>
          <w:sz w:val="22"/>
          <w:szCs w:val="22"/>
          <w:u w:val="single"/>
        </w:rPr>
      </w:pPr>
    </w:p>
    <w:p w14:paraId="23EA1888" w14:textId="0DB42FE8" w:rsidR="00A20DCA" w:rsidRPr="0065313E" w:rsidRDefault="00A20DCA">
      <w:pPr>
        <w:rPr>
          <w:b/>
          <w:bCs/>
          <w:sz w:val="22"/>
          <w:szCs w:val="22"/>
          <w:u w:val="single"/>
        </w:rPr>
      </w:pPr>
      <w:r w:rsidRPr="0065313E">
        <w:rPr>
          <w:b/>
          <w:bCs/>
          <w:sz w:val="22"/>
          <w:szCs w:val="22"/>
          <w:u w:val="single"/>
        </w:rPr>
        <w:t>Strategic rationale for differential tuition</w:t>
      </w:r>
    </w:p>
    <w:p w14:paraId="72E756E5" w14:textId="3112EDCA" w:rsidR="005C29B5" w:rsidRDefault="00025CC8">
      <w:pPr>
        <w:rPr>
          <w:sz w:val="22"/>
          <w:szCs w:val="22"/>
        </w:rPr>
      </w:pPr>
      <w:r w:rsidRPr="0065313E">
        <w:rPr>
          <w:sz w:val="22"/>
          <w:szCs w:val="22"/>
        </w:rPr>
        <w:t xml:space="preserve">More than half of </w:t>
      </w:r>
      <w:r w:rsidR="001F3F53" w:rsidRPr="0065313E">
        <w:rPr>
          <w:sz w:val="22"/>
          <w:szCs w:val="22"/>
        </w:rPr>
        <w:t xml:space="preserve">public </w:t>
      </w:r>
      <w:r w:rsidRPr="0065313E">
        <w:rPr>
          <w:sz w:val="22"/>
          <w:szCs w:val="22"/>
        </w:rPr>
        <w:t xml:space="preserve">research universities now charge some form of differential tuition </w:t>
      </w:r>
      <w:r w:rsidR="007E0B7E">
        <w:rPr>
          <w:sz w:val="22"/>
          <w:szCs w:val="22"/>
        </w:rPr>
        <w:t>for</w:t>
      </w:r>
      <w:r w:rsidRPr="0065313E">
        <w:rPr>
          <w:sz w:val="22"/>
          <w:szCs w:val="22"/>
        </w:rPr>
        <w:t xml:space="preserve"> business education,</w:t>
      </w:r>
      <w:r w:rsidR="00FD3097" w:rsidRPr="00FD3097">
        <w:rPr>
          <w:sz w:val="22"/>
          <w:szCs w:val="22"/>
          <w:vertAlign w:val="superscript"/>
        </w:rPr>
        <w:t>1</w:t>
      </w:r>
      <w:r w:rsidRPr="0065313E">
        <w:rPr>
          <w:sz w:val="22"/>
          <w:szCs w:val="22"/>
        </w:rPr>
        <w:t xml:space="preserve"> </w:t>
      </w:r>
      <w:r w:rsidR="001F3F53" w:rsidRPr="0065313E">
        <w:rPr>
          <w:sz w:val="22"/>
          <w:szCs w:val="22"/>
        </w:rPr>
        <w:t>and the rate of adoption has been increasing steadily for decades</w:t>
      </w:r>
      <w:r w:rsidR="00270ABD" w:rsidRPr="0065313E">
        <w:rPr>
          <w:sz w:val="22"/>
          <w:szCs w:val="22"/>
        </w:rPr>
        <w:t xml:space="preserve">. </w:t>
      </w:r>
      <w:r w:rsidR="001F3F53" w:rsidRPr="0065313E">
        <w:rPr>
          <w:sz w:val="22"/>
          <w:szCs w:val="22"/>
        </w:rPr>
        <w:t>T</w:t>
      </w:r>
      <w:r w:rsidRPr="0065313E">
        <w:rPr>
          <w:sz w:val="22"/>
          <w:szCs w:val="22"/>
        </w:rPr>
        <w:t xml:space="preserve">he revenue generated by that tuition is </w:t>
      </w:r>
      <w:r w:rsidR="001F3F53" w:rsidRPr="0065313E">
        <w:rPr>
          <w:sz w:val="22"/>
          <w:szCs w:val="22"/>
        </w:rPr>
        <w:t>used to deliver services that</w:t>
      </w:r>
      <w:r w:rsidRPr="0065313E">
        <w:rPr>
          <w:sz w:val="22"/>
          <w:szCs w:val="22"/>
        </w:rPr>
        <w:t xml:space="preserve"> prepare </w:t>
      </w:r>
      <w:r w:rsidR="001F3F53" w:rsidRPr="0065313E">
        <w:rPr>
          <w:sz w:val="22"/>
          <w:szCs w:val="22"/>
        </w:rPr>
        <w:t>students</w:t>
      </w:r>
      <w:r w:rsidRPr="0065313E">
        <w:rPr>
          <w:sz w:val="22"/>
          <w:szCs w:val="22"/>
        </w:rPr>
        <w:t xml:space="preserve"> to succeed in </w:t>
      </w:r>
      <w:r w:rsidR="005C29B5">
        <w:rPr>
          <w:sz w:val="22"/>
          <w:szCs w:val="22"/>
        </w:rPr>
        <w:t>business</w:t>
      </w:r>
      <w:r w:rsidRPr="0065313E">
        <w:rPr>
          <w:sz w:val="22"/>
          <w:szCs w:val="22"/>
        </w:rPr>
        <w:t xml:space="preserve"> fields</w:t>
      </w:r>
      <w:r w:rsidR="00270ABD" w:rsidRPr="0065313E">
        <w:rPr>
          <w:sz w:val="22"/>
          <w:szCs w:val="22"/>
        </w:rPr>
        <w:t xml:space="preserve">. </w:t>
      </w:r>
    </w:p>
    <w:p w14:paraId="300CE3F9" w14:textId="77777777" w:rsidR="007E0B7E" w:rsidRDefault="007E0B7E">
      <w:pPr>
        <w:rPr>
          <w:sz w:val="22"/>
          <w:szCs w:val="22"/>
        </w:rPr>
      </w:pPr>
    </w:p>
    <w:p w14:paraId="14247909" w14:textId="3E391CA6" w:rsidR="005C29B5" w:rsidRDefault="005C29B5">
      <w:pPr>
        <w:rPr>
          <w:sz w:val="22"/>
          <w:szCs w:val="22"/>
        </w:rPr>
      </w:pPr>
      <w:r>
        <w:rPr>
          <w:sz w:val="22"/>
          <w:szCs w:val="22"/>
        </w:rPr>
        <w:t xml:space="preserve">There </w:t>
      </w:r>
      <w:r w:rsidR="00CC64E2">
        <w:rPr>
          <w:sz w:val="22"/>
          <w:szCs w:val="22"/>
        </w:rPr>
        <w:t xml:space="preserve">are </w:t>
      </w:r>
      <w:r>
        <w:rPr>
          <w:sz w:val="22"/>
          <w:szCs w:val="22"/>
        </w:rPr>
        <w:t xml:space="preserve">at least two key reasons why differential tuition has become so common for business schools. The first is </w:t>
      </w:r>
      <w:r w:rsidR="002A504D">
        <w:rPr>
          <w:sz w:val="22"/>
          <w:szCs w:val="22"/>
        </w:rPr>
        <w:t>cost-based. B</w:t>
      </w:r>
      <w:r w:rsidR="001F3F53" w:rsidRPr="0065313E">
        <w:rPr>
          <w:sz w:val="22"/>
          <w:szCs w:val="22"/>
        </w:rPr>
        <w:t xml:space="preserve">usiness schools are required to rapidly adapt to </w:t>
      </w:r>
      <w:r w:rsidR="00CC64E2">
        <w:rPr>
          <w:sz w:val="22"/>
          <w:szCs w:val="22"/>
        </w:rPr>
        <w:t xml:space="preserve">both </w:t>
      </w:r>
      <w:r w:rsidR="001F3F53" w:rsidRPr="0065313E">
        <w:rPr>
          <w:sz w:val="22"/>
          <w:szCs w:val="22"/>
        </w:rPr>
        <w:t xml:space="preserve">technological and industrial change and to the demands of employers and students </w:t>
      </w:r>
      <w:r w:rsidR="0070362F" w:rsidRPr="0065313E">
        <w:rPr>
          <w:sz w:val="22"/>
          <w:szCs w:val="22"/>
        </w:rPr>
        <w:t>for</w:t>
      </w:r>
      <w:r w:rsidR="001F3F53" w:rsidRPr="0065313E">
        <w:rPr>
          <w:sz w:val="22"/>
          <w:szCs w:val="22"/>
        </w:rPr>
        <w:t xml:space="preserve"> </w:t>
      </w:r>
      <w:r w:rsidR="0070362F" w:rsidRPr="0065313E">
        <w:rPr>
          <w:sz w:val="22"/>
          <w:szCs w:val="22"/>
        </w:rPr>
        <w:t xml:space="preserve">knowledge and </w:t>
      </w:r>
      <w:r w:rsidR="001F3F53" w:rsidRPr="0065313E">
        <w:rPr>
          <w:sz w:val="22"/>
          <w:szCs w:val="22"/>
        </w:rPr>
        <w:t xml:space="preserve">skills that are relevant and applicable </w:t>
      </w:r>
      <w:r w:rsidR="00C82881" w:rsidRPr="0065313E">
        <w:rPr>
          <w:sz w:val="22"/>
          <w:szCs w:val="22"/>
        </w:rPr>
        <w:t xml:space="preserve">immediately </w:t>
      </w:r>
      <w:r w:rsidR="001F3F53" w:rsidRPr="0065313E">
        <w:rPr>
          <w:sz w:val="22"/>
          <w:szCs w:val="22"/>
        </w:rPr>
        <w:t>after graduation</w:t>
      </w:r>
      <w:r w:rsidR="00270ABD" w:rsidRPr="0065313E">
        <w:rPr>
          <w:sz w:val="22"/>
          <w:szCs w:val="22"/>
        </w:rPr>
        <w:t xml:space="preserve">. </w:t>
      </w:r>
      <w:r w:rsidR="00CC64E2">
        <w:rPr>
          <w:sz w:val="22"/>
          <w:szCs w:val="22"/>
        </w:rPr>
        <w:t>Differential tuition pays for t</w:t>
      </w:r>
      <w:r w:rsidR="00C82881" w:rsidRPr="0065313E">
        <w:rPr>
          <w:sz w:val="22"/>
          <w:szCs w:val="22"/>
        </w:rPr>
        <w:t xml:space="preserve">he additional cost of the tools and the expertise to </w:t>
      </w:r>
      <w:r w:rsidR="00E41C63">
        <w:rPr>
          <w:sz w:val="22"/>
          <w:szCs w:val="22"/>
        </w:rPr>
        <w:t>make that possible</w:t>
      </w:r>
      <w:r w:rsidR="00CC64E2">
        <w:rPr>
          <w:sz w:val="22"/>
          <w:szCs w:val="22"/>
        </w:rPr>
        <w:t>.</w:t>
      </w:r>
      <w:r w:rsidR="00E41C63">
        <w:rPr>
          <w:sz w:val="22"/>
          <w:szCs w:val="22"/>
        </w:rPr>
        <w:t xml:space="preserve"> </w:t>
      </w:r>
      <w:r w:rsidR="002A504D">
        <w:rPr>
          <w:sz w:val="22"/>
          <w:szCs w:val="22"/>
        </w:rPr>
        <w:t xml:space="preserve">The market for high-quality business faculty, who are </w:t>
      </w:r>
      <w:r w:rsidR="002F3B86">
        <w:rPr>
          <w:sz w:val="22"/>
          <w:szCs w:val="22"/>
        </w:rPr>
        <w:t>experts</w:t>
      </w:r>
      <w:r w:rsidR="002A504D">
        <w:rPr>
          <w:sz w:val="22"/>
          <w:szCs w:val="22"/>
        </w:rPr>
        <w:t xml:space="preserve"> in these specialized business tools</w:t>
      </w:r>
      <w:r w:rsidR="00CC64E2">
        <w:rPr>
          <w:sz w:val="22"/>
          <w:szCs w:val="22"/>
        </w:rPr>
        <w:t>,</w:t>
      </w:r>
      <w:r w:rsidR="00E44095">
        <w:rPr>
          <w:sz w:val="22"/>
          <w:szCs w:val="22"/>
        </w:rPr>
        <w:t xml:space="preserve"> </w:t>
      </w:r>
      <w:r w:rsidR="002A504D">
        <w:rPr>
          <w:sz w:val="22"/>
          <w:szCs w:val="22"/>
        </w:rPr>
        <w:t>is also very competitive (because of private industry options)</w:t>
      </w:r>
      <w:r w:rsidR="00CC64E2">
        <w:rPr>
          <w:sz w:val="22"/>
          <w:szCs w:val="22"/>
        </w:rPr>
        <w:t>, further increasing costs</w:t>
      </w:r>
      <w:r w:rsidR="00F91155">
        <w:rPr>
          <w:sz w:val="22"/>
          <w:szCs w:val="22"/>
        </w:rPr>
        <w:t xml:space="preserve">. </w:t>
      </w:r>
      <w:r w:rsidR="00FD36FE">
        <w:rPr>
          <w:sz w:val="22"/>
          <w:szCs w:val="22"/>
        </w:rPr>
        <w:t>T</w:t>
      </w:r>
      <w:r>
        <w:rPr>
          <w:sz w:val="22"/>
          <w:szCs w:val="22"/>
        </w:rPr>
        <w:t xml:space="preserve">he second </w:t>
      </w:r>
      <w:r w:rsidR="002A504D">
        <w:rPr>
          <w:sz w:val="22"/>
          <w:szCs w:val="22"/>
        </w:rPr>
        <w:t xml:space="preserve">reason is </w:t>
      </w:r>
      <w:r w:rsidR="00CC64E2">
        <w:rPr>
          <w:sz w:val="22"/>
          <w:szCs w:val="22"/>
        </w:rPr>
        <w:t>student</w:t>
      </w:r>
      <w:r w:rsidR="002A504D">
        <w:rPr>
          <w:sz w:val="22"/>
          <w:szCs w:val="22"/>
        </w:rPr>
        <w:t>-based. There i</w:t>
      </w:r>
      <w:r>
        <w:rPr>
          <w:sz w:val="22"/>
          <w:szCs w:val="22"/>
        </w:rPr>
        <w:t xml:space="preserve">s </w:t>
      </w:r>
      <w:r w:rsidR="00CC64E2">
        <w:rPr>
          <w:sz w:val="22"/>
          <w:szCs w:val="22"/>
        </w:rPr>
        <w:t xml:space="preserve">an </w:t>
      </w:r>
      <w:r>
        <w:rPr>
          <w:sz w:val="22"/>
          <w:szCs w:val="22"/>
        </w:rPr>
        <w:t>increasing expectation by business majors for additional, specialized services for both their academic success and their career outcomes</w:t>
      </w:r>
      <w:r w:rsidR="00F91155">
        <w:rPr>
          <w:sz w:val="22"/>
          <w:szCs w:val="22"/>
        </w:rPr>
        <w:t xml:space="preserve">. </w:t>
      </w:r>
      <w:r>
        <w:rPr>
          <w:sz w:val="22"/>
          <w:szCs w:val="22"/>
        </w:rPr>
        <w:t>As such, it is highly common for business schools to have their own academic advising staff, tutoring staff, and career center</w:t>
      </w:r>
      <w:r w:rsidR="00F91155">
        <w:rPr>
          <w:sz w:val="22"/>
          <w:szCs w:val="22"/>
        </w:rPr>
        <w:t xml:space="preserve">. </w:t>
      </w:r>
    </w:p>
    <w:p w14:paraId="1271E337" w14:textId="48F1B807" w:rsidR="00346536" w:rsidRDefault="00346536">
      <w:pPr>
        <w:rPr>
          <w:sz w:val="22"/>
          <w:szCs w:val="22"/>
        </w:rPr>
      </w:pPr>
    </w:p>
    <w:p w14:paraId="66566789" w14:textId="03B5ADA9" w:rsidR="00841992" w:rsidRDefault="00C82881">
      <w:pPr>
        <w:rPr>
          <w:sz w:val="22"/>
          <w:szCs w:val="22"/>
        </w:rPr>
      </w:pPr>
      <w:r w:rsidRPr="0065313E">
        <w:rPr>
          <w:sz w:val="22"/>
          <w:szCs w:val="22"/>
        </w:rPr>
        <w:t xml:space="preserve">At the University of Oregon, demand for business education has been growing and </w:t>
      </w:r>
      <w:r w:rsidR="00784EC1">
        <w:rPr>
          <w:sz w:val="22"/>
          <w:szCs w:val="22"/>
        </w:rPr>
        <w:t xml:space="preserve">is </w:t>
      </w:r>
      <w:r w:rsidRPr="0065313E">
        <w:rPr>
          <w:sz w:val="22"/>
          <w:szCs w:val="22"/>
        </w:rPr>
        <w:t>poised to continue to grow</w:t>
      </w:r>
      <w:r w:rsidR="00270ABD" w:rsidRPr="0065313E">
        <w:rPr>
          <w:sz w:val="22"/>
          <w:szCs w:val="22"/>
        </w:rPr>
        <w:t xml:space="preserve">. </w:t>
      </w:r>
      <w:r w:rsidR="00387236">
        <w:rPr>
          <w:sz w:val="22"/>
          <w:szCs w:val="22"/>
        </w:rPr>
        <w:t xml:space="preserve">Since 2019, </w:t>
      </w:r>
      <w:r w:rsidR="00BC71B2">
        <w:rPr>
          <w:sz w:val="22"/>
          <w:szCs w:val="22"/>
        </w:rPr>
        <w:t xml:space="preserve">total </w:t>
      </w:r>
      <w:r w:rsidR="00387236">
        <w:rPr>
          <w:sz w:val="22"/>
          <w:szCs w:val="22"/>
        </w:rPr>
        <w:t xml:space="preserve">undergraduate student credit hours </w:t>
      </w:r>
      <w:r w:rsidR="004A4A8C">
        <w:rPr>
          <w:sz w:val="22"/>
          <w:szCs w:val="22"/>
        </w:rPr>
        <w:t xml:space="preserve">offered by the college </w:t>
      </w:r>
      <w:r w:rsidR="00CC42A4">
        <w:rPr>
          <w:sz w:val="22"/>
          <w:szCs w:val="22"/>
        </w:rPr>
        <w:t>have</w:t>
      </w:r>
      <w:r w:rsidR="004A4A8C">
        <w:rPr>
          <w:sz w:val="22"/>
          <w:szCs w:val="22"/>
        </w:rPr>
        <w:t xml:space="preserve"> increased by </w:t>
      </w:r>
      <w:r w:rsidR="00AE2551">
        <w:rPr>
          <w:sz w:val="22"/>
          <w:szCs w:val="22"/>
        </w:rPr>
        <w:t>33</w:t>
      </w:r>
      <w:r w:rsidR="00BC71B2">
        <w:rPr>
          <w:sz w:val="22"/>
          <w:szCs w:val="22"/>
        </w:rPr>
        <w:t>%</w:t>
      </w:r>
      <w:r w:rsidR="004A4A8C">
        <w:rPr>
          <w:sz w:val="22"/>
          <w:szCs w:val="22"/>
        </w:rPr>
        <w:t xml:space="preserve">, majors by </w:t>
      </w:r>
      <w:r w:rsidR="00C95145">
        <w:rPr>
          <w:sz w:val="22"/>
          <w:szCs w:val="22"/>
        </w:rPr>
        <w:t>39%</w:t>
      </w:r>
      <w:r w:rsidR="004A4A8C">
        <w:rPr>
          <w:sz w:val="22"/>
          <w:szCs w:val="22"/>
        </w:rPr>
        <w:t xml:space="preserve"> and minors by </w:t>
      </w:r>
      <w:r w:rsidR="001A292A">
        <w:rPr>
          <w:sz w:val="22"/>
          <w:szCs w:val="22"/>
        </w:rPr>
        <w:t>25%</w:t>
      </w:r>
      <w:r w:rsidR="00F91155">
        <w:rPr>
          <w:sz w:val="22"/>
          <w:szCs w:val="22"/>
        </w:rPr>
        <w:t xml:space="preserve">. </w:t>
      </w:r>
      <w:r w:rsidR="00BD6E12">
        <w:rPr>
          <w:sz w:val="22"/>
          <w:szCs w:val="22"/>
        </w:rPr>
        <w:t xml:space="preserve">In this year’s incoming class, 25% are declared business or pre-business majors. At the same time, the recent budget cuts are threatening </w:t>
      </w:r>
      <w:r w:rsidR="008C6D23">
        <w:rPr>
          <w:sz w:val="22"/>
          <w:szCs w:val="22"/>
        </w:rPr>
        <w:t>Lundquist</w:t>
      </w:r>
      <w:r w:rsidR="00BD6E12">
        <w:rPr>
          <w:sz w:val="22"/>
          <w:szCs w:val="22"/>
        </w:rPr>
        <w:t xml:space="preserve"> College’s ability to provide the same high-quality education and student services we have </w:t>
      </w:r>
      <w:r w:rsidR="00346536">
        <w:rPr>
          <w:sz w:val="22"/>
          <w:szCs w:val="22"/>
        </w:rPr>
        <w:t xml:space="preserve">offered </w:t>
      </w:r>
      <w:r w:rsidR="00BD6E12">
        <w:rPr>
          <w:sz w:val="22"/>
          <w:szCs w:val="22"/>
        </w:rPr>
        <w:t xml:space="preserve">in the past. </w:t>
      </w:r>
      <w:r w:rsidR="00841992">
        <w:rPr>
          <w:sz w:val="22"/>
          <w:szCs w:val="22"/>
        </w:rPr>
        <w:t>And it</w:t>
      </w:r>
      <w:r w:rsidR="00346536">
        <w:rPr>
          <w:sz w:val="22"/>
          <w:szCs w:val="22"/>
        </w:rPr>
        <w:t xml:space="preserve"> i</w:t>
      </w:r>
      <w:r w:rsidR="00841992">
        <w:rPr>
          <w:sz w:val="22"/>
          <w:szCs w:val="22"/>
        </w:rPr>
        <w:t xml:space="preserve">s clear that there are significant financial headwinds for the foreseeable future. </w:t>
      </w:r>
      <w:r w:rsidR="00BD6E12">
        <w:rPr>
          <w:sz w:val="22"/>
          <w:szCs w:val="22"/>
        </w:rPr>
        <w:t>Because the college is such a major attractor for prospective students</w:t>
      </w:r>
      <w:r w:rsidR="00346536">
        <w:rPr>
          <w:sz w:val="22"/>
          <w:szCs w:val="22"/>
        </w:rPr>
        <w:t>,</w:t>
      </w:r>
      <w:r w:rsidR="00BD6E12">
        <w:rPr>
          <w:sz w:val="22"/>
          <w:szCs w:val="22"/>
        </w:rPr>
        <w:t xml:space="preserve"> this is not just a threat to the college, but to the university</w:t>
      </w:r>
      <w:r w:rsidR="00F91155">
        <w:rPr>
          <w:sz w:val="22"/>
          <w:szCs w:val="22"/>
        </w:rPr>
        <w:t xml:space="preserve">. </w:t>
      </w:r>
      <w:r w:rsidR="00BD6E12">
        <w:rPr>
          <w:sz w:val="22"/>
          <w:szCs w:val="22"/>
        </w:rPr>
        <w:t>We are in intense competition for prospective students who want to major in business and are considering the strong business schools at our c</w:t>
      </w:r>
      <w:r w:rsidR="00841992">
        <w:rPr>
          <w:sz w:val="22"/>
          <w:szCs w:val="22"/>
        </w:rPr>
        <w:t>omp</w:t>
      </w:r>
      <w:r w:rsidR="00A460C3">
        <w:rPr>
          <w:sz w:val="22"/>
          <w:szCs w:val="22"/>
        </w:rPr>
        <w:t>arators</w:t>
      </w:r>
      <w:r w:rsidR="00F91155">
        <w:rPr>
          <w:sz w:val="22"/>
          <w:szCs w:val="22"/>
        </w:rPr>
        <w:t xml:space="preserve">. </w:t>
      </w:r>
    </w:p>
    <w:p w14:paraId="4D608D78" w14:textId="77777777" w:rsidR="00841992" w:rsidRDefault="00841992">
      <w:pPr>
        <w:rPr>
          <w:sz w:val="22"/>
          <w:szCs w:val="22"/>
        </w:rPr>
      </w:pPr>
    </w:p>
    <w:p w14:paraId="070F12A6" w14:textId="387CF3FD" w:rsidR="00346536" w:rsidRDefault="00346536" w:rsidP="00346536">
      <w:pPr>
        <w:rPr>
          <w:sz w:val="22"/>
          <w:szCs w:val="22"/>
        </w:rPr>
      </w:pPr>
      <w:r>
        <w:rPr>
          <w:sz w:val="22"/>
          <w:szCs w:val="22"/>
        </w:rPr>
        <w:t>In short, business education is high cost, but also in high demand because students and their families place long-term value on a business education</w:t>
      </w:r>
      <w:r w:rsidR="00F91155">
        <w:rPr>
          <w:sz w:val="22"/>
          <w:szCs w:val="22"/>
        </w:rPr>
        <w:t xml:space="preserve">. </w:t>
      </w:r>
      <w:r>
        <w:rPr>
          <w:sz w:val="22"/>
          <w:szCs w:val="22"/>
        </w:rPr>
        <w:t xml:space="preserve">Thus, it makes sense that there is a tuition differential for business education relative to other majors on campus. </w:t>
      </w:r>
    </w:p>
    <w:p w14:paraId="224E63D4" w14:textId="77777777" w:rsidR="00346536" w:rsidRDefault="00346536">
      <w:pPr>
        <w:rPr>
          <w:sz w:val="22"/>
          <w:szCs w:val="22"/>
        </w:rPr>
      </w:pPr>
    </w:p>
    <w:p w14:paraId="470710C7" w14:textId="6B3982FD" w:rsidR="00841992" w:rsidRDefault="00841992">
      <w:pPr>
        <w:rPr>
          <w:sz w:val="22"/>
          <w:szCs w:val="22"/>
        </w:rPr>
      </w:pPr>
      <w:r>
        <w:rPr>
          <w:sz w:val="22"/>
          <w:szCs w:val="22"/>
        </w:rPr>
        <w:t xml:space="preserve">In the past, we have worked hard to keep differential tuition for the business school very low relative to </w:t>
      </w:r>
      <w:r w:rsidR="00342E49">
        <w:rPr>
          <w:sz w:val="22"/>
          <w:szCs w:val="22"/>
        </w:rPr>
        <w:t xml:space="preserve">our </w:t>
      </w:r>
      <w:r>
        <w:rPr>
          <w:sz w:val="22"/>
          <w:szCs w:val="22"/>
        </w:rPr>
        <w:t>comp</w:t>
      </w:r>
      <w:r w:rsidR="00A460C3">
        <w:rPr>
          <w:sz w:val="22"/>
          <w:szCs w:val="22"/>
        </w:rPr>
        <w:t>arator</w:t>
      </w:r>
      <w:r>
        <w:rPr>
          <w:sz w:val="22"/>
          <w:szCs w:val="22"/>
        </w:rPr>
        <w:t>s</w:t>
      </w:r>
      <w:r w:rsidR="00F91155">
        <w:rPr>
          <w:sz w:val="22"/>
          <w:szCs w:val="22"/>
        </w:rPr>
        <w:t xml:space="preserve">. </w:t>
      </w:r>
      <w:r w:rsidR="00342E49">
        <w:rPr>
          <w:sz w:val="22"/>
          <w:szCs w:val="22"/>
        </w:rPr>
        <w:t xml:space="preserve">However, </w:t>
      </w:r>
      <w:r>
        <w:rPr>
          <w:sz w:val="22"/>
          <w:szCs w:val="22"/>
        </w:rPr>
        <w:t xml:space="preserve">given the financial situation </w:t>
      </w:r>
      <w:r w:rsidR="00342E49">
        <w:rPr>
          <w:sz w:val="22"/>
          <w:szCs w:val="22"/>
        </w:rPr>
        <w:t xml:space="preserve">UO </w:t>
      </w:r>
      <w:r>
        <w:rPr>
          <w:sz w:val="22"/>
          <w:szCs w:val="22"/>
        </w:rPr>
        <w:t>face</w:t>
      </w:r>
      <w:r w:rsidR="00342E49">
        <w:rPr>
          <w:sz w:val="22"/>
          <w:szCs w:val="22"/>
        </w:rPr>
        <w:t>s</w:t>
      </w:r>
      <w:r>
        <w:rPr>
          <w:sz w:val="22"/>
          <w:szCs w:val="22"/>
        </w:rPr>
        <w:t xml:space="preserve"> and the concern over the service levels we have for our students (e.g., our advising ratios are now over 800 students per advisor, which is the </w:t>
      </w:r>
      <w:r w:rsidR="00346536">
        <w:rPr>
          <w:sz w:val="22"/>
          <w:szCs w:val="22"/>
        </w:rPr>
        <w:t xml:space="preserve">highest </w:t>
      </w:r>
      <w:r>
        <w:rPr>
          <w:sz w:val="22"/>
          <w:szCs w:val="22"/>
        </w:rPr>
        <w:t xml:space="preserve">across all units at the university), we are proposing an increase that will put us closer to the average differential tuition of our </w:t>
      </w:r>
      <w:r w:rsidR="00FF60B3">
        <w:rPr>
          <w:sz w:val="22"/>
          <w:szCs w:val="22"/>
        </w:rPr>
        <w:t xml:space="preserve">business school </w:t>
      </w:r>
      <w:r>
        <w:rPr>
          <w:sz w:val="22"/>
          <w:szCs w:val="22"/>
        </w:rPr>
        <w:t>comp</w:t>
      </w:r>
      <w:r w:rsidR="00A460C3">
        <w:rPr>
          <w:sz w:val="22"/>
          <w:szCs w:val="22"/>
        </w:rPr>
        <w:t>arato</w:t>
      </w:r>
      <w:r>
        <w:rPr>
          <w:sz w:val="22"/>
          <w:szCs w:val="22"/>
        </w:rPr>
        <w:t>rs.  This will help us not only keep student services at a level expected by the market but also allow us to hire enough faculty to keep class sizes from increasing.</w:t>
      </w:r>
    </w:p>
    <w:p w14:paraId="72719A51" w14:textId="77777777" w:rsidR="003E3720" w:rsidRDefault="003E3720">
      <w:pPr>
        <w:rPr>
          <w:sz w:val="22"/>
          <w:szCs w:val="22"/>
        </w:rPr>
      </w:pPr>
    </w:p>
    <w:p w14:paraId="457ABA5E" w14:textId="2E11426C" w:rsidR="00FF60B3" w:rsidRDefault="00FF60B3">
      <w:pPr>
        <w:rPr>
          <w:sz w:val="22"/>
          <w:szCs w:val="22"/>
        </w:rPr>
      </w:pPr>
      <w:r>
        <w:rPr>
          <w:sz w:val="22"/>
          <w:szCs w:val="22"/>
        </w:rPr>
        <w:t>As with any tuition increase, we are concerned about access. Because of this, we will dedicate 10% of the differential tuition revenues to Pathway</w:t>
      </w:r>
      <w:r w:rsidR="00A460C3">
        <w:rPr>
          <w:sz w:val="22"/>
          <w:szCs w:val="22"/>
        </w:rPr>
        <w:t xml:space="preserve"> </w:t>
      </w:r>
      <w:r>
        <w:rPr>
          <w:sz w:val="22"/>
          <w:szCs w:val="22"/>
        </w:rPr>
        <w:t>Oregon scholarships. Additionally, we distribute over $1 million annually in scholarship dollars to our undergraduate students</w:t>
      </w:r>
      <w:r w:rsidR="00F91155">
        <w:rPr>
          <w:sz w:val="22"/>
          <w:szCs w:val="22"/>
        </w:rPr>
        <w:t xml:space="preserve">. </w:t>
      </w:r>
      <w:r w:rsidR="00346536">
        <w:rPr>
          <w:sz w:val="22"/>
          <w:szCs w:val="22"/>
        </w:rPr>
        <w:t>I</w:t>
      </w:r>
      <w:r>
        <w:rPr>
          <w:sz w:val="22"/>
          <w:szCs w:val="22"/>
        </w:rPr>
        <w:t xml:space="preserve">ncreasing these dollars is </w:t>
      </w:r>
      <w:r w:rsidR="00346536">
        <w:rPr>
          <w:sz w:val="22"/>
          <w:szCs w:val="22"/>
        </w:rPr>
        <w:t xml:space="preserve">also </w:t>
      </w:r>
      <w:r>
        <w:rPr>
          <w:sz w:val="22"/>
          <w:szCs w:val="22"/>
        </w:rPr>
        <w:t xml:space="preserve">a priority for our fundraising efforts. </w:t>
      </w:r>
      <w:r w:rsidR="00346536">
        <w:rPr>
          <w:sz w:val="22"/>
          <w:szCs w:val="22"/>
        </w:rPr>
        <w:t xml:space="preserve">Maintaining and strengthening </w:t>
      </w:r>
      <w:r>
        <w:rPr>
          <w:sz w:val="22"/>
          <w:szCs w:val="22"/>
        </w:rPr>
        <w:t>student services will help us better accomplish our Oregon Rising goals of timely graduation and career readiness for our students.</w:t>
      </w:r>
    </w:p>
    <w:p w14:paraId="4D12A9E2" w14:textId="77777777" w:rsidR="00346536" w:rsidRDefault="00346536">
      <w:pPr>
        <w:rPr>
          <w:sz w:val="22"/>
          <w:szCs w:val="22"/>
        </w:rPr>
      </w:pPr>
    </w:p>
    <w:p w14:paraId="1828819E" w14:textId="1ED44F45" w:rsidR="00841992" w:rsidRDefault="00342E49">
      <w:pPr>
        <w:rPr>
          <w:sz w:val="22"/>
          <w:szCs w:val="22"/>
        </w:rPr>
      </w:pPr>
      <w:r>
        <w:rPr>
          <w:sz w:val="22"/>
          <w:szCs w:val="22"/>
        </w:rPr>
        <w:lastRenderedPageBreak/>
        <w:t>B</w:t>
      </w:r>
      <w:r w:rsidR="00FF60B3">
        <w:rPr>
          <w:sz w:val="22"/>
          <w:szCs w:val="22"/>
        </w:rPr>
        <w:t xml:space="preserve">ecause of guaranteed tuition, </w:t>
      </w:r>
      <w:r>
        <w:rPr>
          <w:sz w:val="22"/>
          <w:szCs w:val="22"/>
        </w:rPr>
        <w:t xml:space="preserve">which includes differential tuition, </w:t>
      </w:r>
      <w:r w:rsidR="00FF60B3">
        <w:rPr>
          <w:sz w:val="22"/>
          <w:szCs w:val="22"/>
        </w:rPr>
        <w:t>this increase will not affect current students</w:t>
      </w:r>
      <w:r w:rsidR="00F91155">
        <w:rPr>
          <w:sz w:val="22"/>
          <w:szCs w:val="22"/>
        </w:rPr>
        <w:t xml:space="preserve">. </w:t>
      </w:r>
      <w:r w:rsidR="00FF60B3">
        <w:rPr>
          <w:sz w:val="22"/>
          <w:szCs w:val="22"/>
        </w:rPr>
        <w:t xml:space="preserve">If implemented, this higher level </w:t>
      </w:r>
      <w:r w:rsidR="00FD36FE">
        <w:rPr>
          <w:sz w:val="22"/>
          <w:szCs w:val="22"/>
        </w:rPr>
        <w:t>(from $</w:t>
      </w:r>
      <w:r w:rsidR="00D260B8">
        <w:rPr>
          <w:sz w:val="22"/>
          <w:szCs w:val="22"/>
        </w:rPr>
        <w:t>3</w:t>
      </w:r>
      <w:r w:rsidR="00FD36FE">
        <w:rPr>
          <w:sz w:val="22"/>
          <w:szCs w:val="22"/>
        </w:rPr>
        <w:t>0 to $</w:t>
      </w:r>
      <w:r w:rsidR="00D260B8">
        <w:rPr>
          <w:sz w:val="22"/>
          <w:szCs w:val="22"/>
        </w:rPr>
        <w:t>5</w:t>
      </w:r>
      <w:r w:rsidR="0023393A">
        <w:rPr>
          <w:sz w:val="22"/>
          <w:szCs w:val="22"/>
        </w:rPr>
        <w:t>0</w:t>
      </w:r>
      <w:r w:rsidR="00FD36FE">
        <w:rPr>
          <w:sz w:val="22"/>
          <w:szCs w:val="22"/>
        </w:rPr>
        <w:t xml:space="preserve"> per credit hour)</w:t>
      </w:r>
      <w:r w:rsidR="00FF60B3">
        <w:rPr>
          <w:sz w:val="22"/>
          <w:szCs w:val="22"/>
        </w:rPr>
        <w:t xml:space="preserve"> will only be applied to first-year students in Fall 202</w:t>
      </w:r>
      <w:r w:rsidR="00D260B8">
        <w:rPr>
          <w:sz w:val="22"/>
          <w:szCs w:val="22"/>
        </w:rPr>
        <w:t>6</w:t>
      </w:r>
      <w:r w:rsidR="00FF60B3">
        <w:rPr>
          <w:sz w:val="22"/>
          <w:szCs w:val="22"/>
        </w:rPr>
        <w:t xml:space="preserve"> and then </w:t>
      </w:r>
      <w:r w:rsidR="00FD36FE">
        <w:rPr>
          <w:sz w:val="22"/>
          <w:szCs w:val="22"/>
        </w:rPr>
        <w:t xml:space="preserve">applied </w:t>
      </w:r>
      <w:r w:rsidR="00115EAB">
        <w:rPr>
          <w:sz w:val="22"/>
          <w:szCs w:val="22"/>
        </w:rPr>
        <w:t>to any new students after Fall 202</w:t>
      </w:r>
      <w:r w:rsidR="00D260B8">
        <w:rPr>
          <w:sz w:val="22"/>
          <w:szCs w:val="22"/>
        </w:rPr>
        <w:t>6</w:t>
      </w:r>
      <w:r w:rsidR="00115EAB">
        <w:rPr>
          <w:sz w:val="22"/>
          <w:szCs w:val="22"/>
        </w:rPr>
        <w:t>.</w:t>
      </w:r>
    </w:p>
    <w:p w14:paraId="22CDB645" w14:textId="77777777" w:rsidR="003E3720" w:rsidRDefault="003E3720">
      <w:pPr>
        <w:rPr>
          <w:sz w:val="22"/>
          <w:szCs w:val="22"/>
        </w:rPr>
      </w:pPr>
    </w:p>
    <w:p w14:paraId="4CAE2F8A" w14:textId="3ED63966" w:rsidR="00664800" w:rsidRDefault="00664800">
      <w:pPr>
        <w:rPr>
          <w:sz w:val="22"/>
          <w:szCs w:val="22"/>
        </w:rPr>
      </w:pPr>
      <w:r>
        <w:rPr>
          <w:sz w:val="22"/>
          <w:szCs w:val="22"/>
        </w:rPr>
        <w:t xml:space="preserve">In the following, we </w:t>
      </w:r>
      <w:r w:rsidR="00FD36FE">
        <w:rPr>
          <w:sz w:val="22"/>
          <w:szCs w:val="22"/>
        </w:rPr>
        <w:t xml:space="preserve">first </w:t>
      </w:r>
      <w:r>
        <w:rPr>
          <w:sz w:val="22"/>
          <w:szCs w:val="22"/>
        </w:rPr>
        <w:t xml:space="preserve">provide more details on the services </w:t>
      </w:r>
      <w:r w:rsidR="00342E49">
        <w:rPr>
          <w:sz w:val="22"/>
          <w:szCs w:val="22"/>
        </w:rPr>
        <w:t xml:space="preserve">valued by our </w:t>
      </w:r>
      <w:r w:rsidR="008C6D23">
        <w:rPr>
          <w:sz w:val="22"/>
          <w:szCs w:val="22"/>
        </w:rPr>
        <w:t>students,</w:t>
      </w:r>
      <w:r w:rsidR="00342E49">
        <w:rPr>
          <w:sz w:val="22"/>
          <w:szCs w:val="22"/>
        </w:rPr>
        <w:t xml:space="preserve"> and which </w:t>
      </w:r>
      <w:r>
        <w:rPr>
          <w:sz w:val="22"/>
          <w:szCs w:val="22"/>
        </w:rPr>
        <w:t xml:space="preserve">are important when </w:t>
      </w:r>
      <w:r w:rsidR="00342E49">
        <w:rPr>
          <w:sz w:val="22"/>
          <w:szCs w:val="22"/>
        </w:rPr>
        <w:t xml:space="preserve">prospective students compare </w:t>
      </w:r>
      <w:r>
        <w:rPr>
          <w:sz w:val="22"/>
          <w:szCs w:val="22"/>
        </w:rPr>
        <w:t>business</w:t>
      </w:r>
      <w:r w:rsidR="00811629">
        <w:rPr>
          <w:sz w:val="22"/>
          <w:szCs w:val="22"/>
        </w:rPr>
        <w:t xml:space="preserve"> schools</w:t>
      </w:r>
      <w:r w:rsidR="00F91155">
        <w:rPr>
          <w:sz w:val="22"/>
          <w:szCs w:val="22"/>
        </w:rPr>
        <w:t xml:space="preserve">. </w:t>
      </w:r>
      <w:r>
        <w:rPr>
          <w:sz w:val="22"/>
          <w:szCs w:val="22"/>
        </w:rPr>
        <w:t xml:space="preserve">We then discuss the issue of </w:t>
      </w:r>
      <w:r w:rsidR="00342E49">
        <w:rPr>
          <w:sz w:val="22"/>
          <w:szCs w:val="22"/>
        </w:rPr>
        <w:t xml:space="preserve">affordability </w:t>
      </w:r>
      <w:r>
        <w:rPr>
          <w:sz w:val="22"/>
          <w:szCs w:val="22"/>
        </w:rPr>
        <w:t>created by differential tuition and our strategies to</w:t>
      </w:r>
      <w:r w:rsidR="00811629">
        <w:rPr>
          <w:sz w:val="22"/>
          <w:szCs w:val="22"/>
        </w:rPr>
        <w:t xml:space="preserve"> provide aid to those who need it</w:t>
      </w:r>
      <w:r w:rsidR="00F91155">
        <w:rPr>
          <w:sz w:val="22"/>
          <w:szCs w:val="22"/>
        </w:rPr>
        <w:t xml:space="preserve">. </w:t>
      </w:r>
      <w:r w:rsidR="00115EAB">
        <w:rPr>
          <w:sz w:val="22"/>
          <w:szCs w:val="22"/>
        </w:rPr>
        <w:t xml:space="preserve">We have discussed this proposal with current students in Lundquist and will describe those conversations. </w:t>
      </w:r>
      <w:r>
        <w:rPr>
          <w:sz w:val="22"/>
          <w:szCs w:val="22"/>
        </w:rPr>
        <w:t>Finally, we provide comp</w:t>
      </w:r>
      <w:r w:rsidR="00A460C3">
        <w:rPr>
          <w:sz w:val="22"/>
          <w:szCs w:val="22"/>
        </w:rPr>
        <w:t>arator</w:t>
      </w:r>
      <w:r>
        <w:rPr>
          <w:sz w:val="22"/>
          <w:szCs w:val="22"/>
        </w:rPr>
        <w:t xml:space="preserve"> data that shows our proposed level of differential tuition </w:t>
      </w:r>
      <w:r w:rsidR="00811629">
        <w:rPr>
          <w:sz w:val="22"/>
          <w:szCs w:val="22"/>
        </w:rPr>
        <w:t xml:space="preserve">will </w:t>
      </w:r>
      <w:r>
        <w:rPr>
          <w:sz w:val="22"/>
          <w:szCs w:val="22"/>
        </w:rPr>
        <w:t xml:space="preserve">continue </w:t>
      </w:r>
      <w:r w:rsidR="00FD36FE">
        <w:rPr>
          <w:sz w:val="22"/>
          <w:szCs w:val="22"/>
        </w:rPr>
        <w:t xml:space="preserve">to </w:t>
      </w:r>
      <w:r w:rsidR="00811629">
        <w:rPr>
          <w:sz w:val="22"/>
          <w:szCs w:val="22"/>
        </w:rPr>
        <w:t xml:space="preserve">place </w:t>
      </w:r>
      <w:r>
        <w:rPr>
          <w:sz w:val="22"/>
          <w:szCs w:val="22"/>
        </w:rPr>
        <w:t>us at a re</w:t>
      </w:r>
      <w:r w:rsidR="00115EAB">
        <w:rPr>
          <w:sz w:val="22"/>
          <w:szCs w:val="22"/>
        </w:rPr>
        <w:t xml:space="preserve">asonable </w:t>
      </w:r>
      <w:r>
        <w:rPr>
          <w:sz w:val="22"/>
          <w:szCs w:val="22"/>
        </w:rPr>
        <w:t xml:space="preserve">level of differential tuition for a business school. </w:t>
      </w:r>
    </w:p>
    <w:p w14:paraId="67FD6350" w14:textId="77777777" w:rsidR="00664800" w:rsidRPr="0065313E" w:rsidRDefault="00664800">
      <w:pPr>
        <w:rPr>
          <w:sz w:val="22"/>
          <w:szCs w:val="22"/>
        </w:rPr>
      </w:pPr>
    </w:p>
    <w:p w14:paraId="00E889E0" w14:textId="6C3C3BB3" w:rsidR="00A20DCA" w:rsidRPr="0065313E" w:rsidRDefault="00A20DCA">
      <w:pPr>
        <w:rPr>
          <w:b/>
          <w:bCs/>
          <w:sz w:val="22"/>
          <w:szCs w:val="22"/>
          <w:u w:val="single"/>
        </w:rPr>
      </w:pPr>
      <w:r w:rsidRPr="0065313E">
        <w:rPr>
          <w:b/>
          <w:bCs/>
          <w:sz w:val="22"/>
          <w:szCs w:val="22"/>
          <w:u w:val="single"/>
        </w:rPr>
        <w:t xml:space="preserve">Value to Students and </w:t>
      </w:r>
      <w:r w:rsidR="00043AA8">
        <w:rPr>
          <w:b/>
          <w:bCs/>
          <w:sz w:val="22"/>
          <w:szCs w:val="22"/>
          <w:u w:val="single"/>
        </w:rPr>
        <w:t>Q</w:t>
      </w:r>
      <w:r w:rsidRPr="0065313E">
        <w:rPr>
          <w:b/>
          <w:bCs/>
          <w:sz w:val="22"/>
          <w:szCs w:val="22"/>
          <w:u w:val="single"/>
        </w:rPr>
        <w:t xml:space="preserve">uality of </w:t>
      </w:r>
      <w:r w:rsidR="00043AA8">
        <w:rPr>
          <w:b/>
          <w:bCs/>
          <w:sz w:val="22"/>
          <w:szCs w:val="22"/>
          <w:u w:val="single"/>
        </w:rPr>
        <w:t>S</w:t>
      </w:r>
      <w:r w:rsidRPr="0065313E">
        <w:rPr>
          <w:b/>
          <w:bCs/>
          <w:sz w:val="22"/>
          <w:szCs w:val="22"/>
          <w:u w:val="single"/>
        </w:rPr>
        <w:t xml:space="preserve">tudent </w:t>
      </w:r>
      <w:r w:rsidR="00043AA8">
        <w:rPr>
          <w:b/>
          <w:bCs/>
          <w:sz w:val="22"/>
          <w:szCs w:val="22"/>
          <w:u w:val="single"/>
        </w:rPr>
        <w:t>E</w:t>
      </w:r>
      <w:r w:rsidRPr="0065313E">
        <w:rPr>
          <w:b/>
          <w:bCs/>
          <w:sz w:val="22"/>
          <w:szCs w:val="22"/>
          <w:u w:val="single"/>
        </w:rPr>
        <w:t>xperience</w:t>
      </w:r>
    </w:p>
    <w:p w14:paraId="25E109D9" w14:textId="606E8702" w:rsidR="007062E5" w:rsidRPr="0065313E" w:rsidRDefault="00C83281">
      <w:pPr>
        <w:rPr>
          <w:sz w:val="22"/>
          <w:szCs w:val="22"/>
        </w:rPr>
      </w:pPr>
      <w:r>
        <w:rPr>
          <w:sz w:val="22"/>
          <w:szCs w:val="22"/>
        </w:rPr>
        <w:t>R</w:t>
      </w:r>
      <w:r w:rsidR="006C446B">
        <w:rPr>
          <w:sz w:val="22"/>
          <w:szCs w:val="22"/>
        </w:rPr>
        <w:t>evenues from differential tuition will be dedicated to student success</w:t>
      </w:r>
      <w:r w:rsidR="00681365">
        <w:rPr>
          <w:sz w:val="22"/>
          <w:szCs w:val="22"/>
        </w:rPr>
        <w:t>.</w:t>
      </w:r>
      <w:r w:rsidR="00FD36FE">
        <w:rPr>
          <w:sz w:val="22"/>
          <w:szCs w:val="22"/>
        </w:rPr>
        <w:t xml:space="preserve"> </w:t>
      </w:r>
      <w:r>
        <w:rPr>
          <w:sz w:val="22"/>
          <w:szCs w:val="22"/>
        </w:rPr>
        <w:t>S</w:t>
      </w:r>
      <w:r w:rsidR="00416A17" w:rsidRPr="0065313E">
        <w:rPr>
          <w:sz w:val="22"/>
          <w:szCs w:val="22"/>
        </w:rPr>
        <w:t>tudents who take courses at Lun</w:t>
      </w:r>
      <w:r w:rsidR="00BB143D">
        <w:rPr>
          <w:sz w:val="22"/>
          <w:szCs w:val="22"/>
        </w:rPr>
        <w:t>d</w:t>
      </w:r>
      <w:r w:rsidR="00416A17" w:rsidRPr="0065313E">
        <w:rPr>
          <w:sz w:val="22"/>
          <w:szCs w:val="22"/>
        </w:rPr>
        <w:t>quist benefit from</w:t>
      </w:r>
      <w:r w:rsidR="007062E5" w:rsidRPr="0065313E">
        <w:rPr>
          <w:sz w:val="22"/>
          <w:szCs w:val="22"/>
        </w:rPr>
        <w:t xml:space="preserve"> </w:t>
      </w:r>
      <w:r w:rsidR="007062E5" w:rsidRPr="00763740">
        <w:rPr>
          <w:sz w:val="22"/>
          <w:szCs w:val="22"/>
        </w:rPr>
        <w:t>faculty</w:t>
      </w:r>
      <w:r w:rsidR="007062E5" w:rsidRPr="0065313E">
        <w:rPr>
          <w:sz w:val="22"/>
          <w:szCs w:val="22"/>
        </w:rPr>
        <w:t xml:space="preserve"> </w:t>
      </w:r>
      <w:r w:rsidR="00944C1B">
        <w:rPr>
          <w:sz w:val="22"/>
          <w:szCs w:val="22"/>
        </w:rPr>
        <w:t>who possess</w:t>
      </w:r>
      <w:r w:rsidR="007062E5" w:rsidRPr="0065313E">
        <w:rPr>
          <w:sz w:val="22"/>
          <w:szCs w:val="22"/>
        </w:rPr>
        <w:t xml:space="preserve"> the education and professional expertise to </w:t>
      </w:r>
      <w:r w:rsidR="00200112" w:rsidRPr="0065313E">
        <w:rPr>
          <w:sz w:val="22"/>
          <w:szCs w:val="22"/>
        </w:rPr>
        <w:t>prepare them t</w:t>
      </w:r>
      <w:r w:rsidR="00035777" w:rsidRPr="0065313E">
        <w:rPr>
          <w:sz w:val="22"/>
          <w:szCs w:val="22"/>
        </w:rPr>
        <w:t xml:space="preserve">o </w:t>
      </w:r>
      <w:r w:rsidR="00B24EBF" w:rsidRPr="0065313E">
        <w:rPr>
          <w:sz w:val="22"/>
          <w:szCs w:val="22"/>
        </w:rPr>
        <w:t>succeed in the workplace</w:t>
      </w:r>
      <w:r w:rsidR="00270ABD" w:rsidRPr="0065313E">
        <w:rPr>
          <w:sz w:val="22"/>
          <w:szCs w:val="22"/>
        </w:rPr>
        <w:t xml:space="preserve">. </w:t>
      </w:r>
      <w:r w:rsidR="00B22DFE">
        <w:rPr>
          <w:sz w:val="22"/>
          <w:szCs w:val="22"/>
        </w:rPr>
        <w:t xml:space="preserve">Our </w:t>
      </w:r>
      <w:r w:rsidR="00944C1B">
        <w:rPr>
          <w:sz w:val="22"/>
          <w:szCs w:val="22"/>
        </w:rPr>
        <w:t>hi</w:t>
      </w:r>
      <w:r w:rsidR="00ED3001">
        <w:rPr>
          <w:sz w:val="22"/>
          <w:szCs w:val="22"/>
        </w:rPr>
        <w:t xml:space="preserve">ghly qualified </w:t>
      </w:r>
      <w:r w:rsidR="00B22DFE">
        <w:rPr>
          <w:sz w:val="22"/>
          <w:szCs w:val="22"/>
        </w:rPr>
        <w:t>research faculty are complemented by professionals</w:t>
      </w:r>
      <w:r w:rsidR="00BA339C">
        <w:rPr>
          <w:sz w:val="22"/>
          <w:szCs w:val="22"/>
        </w:rPr>
        <w:t xml:space="preserve"> from a range of industries who bring real-world insights into the classroom</w:t>
      </w:r>
      <w:r w:rsidR="00270ABD">
        <w:rPr>
          <w:sz w:val="22"/>
          <w:szCs w:val="22"/>
        </w:rPr>
        <w:t xml:space="preserve">. </w:t>
      </w:r>
      <w:r w:rsidR="00F1032C">
        <w:rPr>
          <w:sz w:val="22"/>
          <w:szCs w:val="22"/>
        </w:rPr>
        <w:t>Our undergraduate curriculum is con</w:t>
      </w:r>
      <w:r w:rsidR="00D40654">
        <w:rPr>
          <w:sz w:val="22"/>
          <w:szCs w:val="22"/>
        </w:rPr>
        <w:t>stantly updated to incorporate emergent topics</w:t>
      </w:r>
      <w:r w:rsidR="000A55E8">
        <w:rPr>
          <w:sz w:val="22"/>
          <w:szCs w:val="22"/>
        </w:rPr>
        <w:t xml:space="preserve"> such as </w:t>
      </w:r>
      <w:r w:rsidR="00A460C3">
        <w:rPr>
          <w:sz w:val="22"/>
          <w:szCs w:val="22"/>
        </w:rPr>
        <w:t>artificial intelligence,</w:t>
      </w:r>
      <w:r w:rsidR="000A55E8">
        <w:rPr>
          <w:sz w:val="22"/>
          <w:szCs w:val="22"/>
        </w:rPr>
        <w:t xml:space="preserve"> </w:t>
      </w:r>
      <w:r w:rsidR="00A70814">
        <w:rPr>
          <w:sz w:val="22"/>
          <w:szCs w:val="22"/>
        </w:rPr>
        <w:t>data analytics</w:t>
      </w:r>
      <w:r w:rsidR="00A460C3">
        <w:rPr>
          <w:sz w:val="22"/>
          <w:szCs w:val="22"/>
        </w:rPr>
        <w:t>, and changes to professional certification exams, such as those to become a Certified Public Accountant</w:t>
      </w:r>
      <w:r w:rsidR="00270ABD">
        <w:rPr>
          <w:sz w:val="22"/>
          <w:szCs w:val="22"/>
        </w:rPr>
        <w:t xml:space="preserve">. </w:t>
      </w:r>
      <w:r w:rsidR="00843F09" w:rsidRPr="0065313E">
        <w:rPr>
          <w:sz w:val="22"/>
          <w:szCs w:val="22"/>
        </w:rPr>
        <w:t>To</w:t>
      </w:r>
      <w:r w:rsidR="0091704D" w:rsidRPr="0065313E">
        <w:rPr>
          <w:sz w:val="22"/>
          <w:szCs w:val="22"/>
        </w:rPr>
        <w:t xml:space="preserve"> recruit </w:t>
      </w:r>
      <w:r w:rsidR="003B2620" w:rsidRPr="0065313E">
        <w:rPr>
          <w:sz w:val="22"/>
          <w:szCs w:val="22"/>
        </w:rPr>
        <w:t>qualified</w:t>
      </w:r>
      <w:r w:rsidR="0091704D" w:rsidRPr="0065313E">
        <w:rPr>
          <w:sz w:val="22"/>
          <w:szCs w:val="22"/>
        </w:rPr>
        <w:t xml:space="preserve"> faculty, </w:t>
      </w:r>
      <w:r w:rsidR="00843F09" w:rsidRPr="0065313E">
        <w:rPr>
          <w:sz w:val="22"/>
          <w:szCs w:val="22"/>
        </w:rPr>
        <w:t>the reality of the market</w:t>
      </w:r>
      <w:r w:rsidR="006A3B5D">
        <w:rPr>
          <w:sz w:val="22"/>
          <w:szCs w:val="22"/>
        </w:rPr>
        <w:t xml:space="preserve"> dictates</w:t>
      </w:r>
      <w:r w:rsidR="00843F09" w:rsidRPr="0065313E">
        <w:rPr>
          <w:sz w:val="22"/>
          <w:szCs w:val="22"/>
        </w:rPr>
        <w:t xml:space="preserve"> </w:t>
      </w:r>
      <w:r w:rsidR="00653593">
        <w:rPr>
          <w:sz w:val="22"/>
          <w:szCs w:val="22"/>
        </w:rPr>
        <w:t xml:space="preserve">compensation </w:t>
      </w:r>
      <w:r w:rsidR="003B2620" w:rsidRPr="0065313E">
        <w:rPr>
          <w:sz w:val="22"/>
          <w:szCs w:val="22"/>
        </w:rPr>
        <w:t>at higher rates than the average for the university</w:t>
      </w:r>
      <w:r w:rsidR="00270ABD" w:rsidRPr="0065313E">
        <w:rPr>
          <w:sz w:val="22"/>
          <w:szCs w:val="22"/>
        </w:rPr>
        <w:t xml:space="preserve">. </w:t>
      </w:r>
      <w:r w:rsidR="00843F09" w:rsidRPr="0065313E">
        <w:rPr>
          <w:sz w:val="22"/>
          <w:szCs w:val="22"/>
        </w:rPr>
        <w:t xml:space="preserve">Differential tuition is a means to </w:t>
      </w:r>
      <w:r w:rsidR="003F07D9" w:rsidRPr="0065313E">
        <w:rPr>
          <w:sz w:val="22"/>
          <w:szCs w:val="22"/>
        </w:rPr>
        <w:t>align that additional cost with the population that benefits from it</w:t>
      </w:r>
      <w:r w:rsidR="00270ABD" w:rsidRPr="0065313E">
        <w:rPr>
          <w:sz w:val="22"/>
          <w:szCs w:val="22"/>
        </w:rPr>
        <w:t xml:space="preserve">. </w:t>
      </w:r>
    </w:p>
    <w:p w14:paraId="5ADB5AF5" w14:textId="77777777" w:rsidR="003E3720" w:rsidRDefault="003E3720">
      <w:pPr>
        <w:rPr>
          <w:sz w:val="22"/>
          <w:szCs w:val="22"/>
        </w:rPr>
      </w:pPr>
    </w:p>
    <w:p w14:paraId="3F7A97AC" w14:textId="7C64B464" w:rsidR="00071035" w:rsidRDefault="00C83281">
      <w:pPr>
        <w:rPr>
          <w:sz w:val="22"/>
          <w:szCs w:val="22"/>
        </w:rPr>
      </w:pPr>
      <w:r>
        <w:rPr>
          <w:sz w:val="22"/>
          <w:szCs w:val="22"/>
        </w:rPr>
        <w:t xml:space="preserve">Differential </w:t>
      </w:r>
      <w:r w:rsidR="00681365">
        <w:rPr>
          <w:sz w:val="22"/>
          <w:szCs w:val="22"/>
        </w:rPr>
        <w:t xml:space="preserve">tuition revenues will </w:t>
      </w:r>
      <w:r>
        <w:rPr>
          <w:sz w:val="22"/>
          <w:szCs w:val="22"/>
        </w:rPr>
        <w:t xml:space="preserve">also </w:t>
      </w:r>
      <w:r w:rsidR="00681365">
        <w:rPr>
          <w:sz w:val="22"/>
          <w:szCs w:val="22"/>
        </w:rPr>
        <w:t>fund</w:t>
      </w:r>
      <w:r>
        <w:rPr>
          <w:sz w:val="22"/>
          <w:szCs w:val="22"/>
        </w:rPr>
        <w:t xml:space="preserve"> many important student services</w:t>
      </w:r>
      <w:r w:rsidR="00681365">
        <w:rPr>
          <w:sz w:val="22"/>
          <w:szCs w:val="22"/>
        </w:rPr>
        <w:t xml:space="preserve">. </w:t>
      </w:r>
      <w:r w:rsidR="002455A2">
        <w:rPr>
          <w:sz w:val="22"/>
          <w:szCs w:val="22"/>
        </w:rPr>
        <w:t>All s</w:t>
      </w:r>
      <w:r w:rsidR="00416A17" w:rsidRPr="0065313E">
        <w:rPr>
          <w:sz w:val="22"/>
          <w:szCs w:val="22"/>
        </w:rPr>
        <w:t xml:space="preserve">tudents who are part of our </w:t>
      </w:r>
      <w:r w:rsidR="00D0514D">
        <w:rPr>
          <w:sz w:val="22"/>
          <w:szCs w:val="22"/>
        </w:rPr>
        <w:t xml:space="preserve">undergraduate </w:t>
      </w:r>
      <w:r w:rsidR="00416A17" w:rsidRPr="0065313E">
        <w:rPr>
          <w:sz w:val="22"/>
          <w:szCs w:val="22"/>
        </w:rPr>
        <w:t>pre</w:t>
      </w:r>
      <w:r w:rsidR="00336F1F" w:rsidRPr="0065313E">
        <w:rPr>
          <w:sz w:val="22"/>
          <w:szCs w:val="22"/>
        </w:rPr>
        <w:t>-</w:t>
      </w:r>
      <w:r w:rsidR="00416A17" w:rsidRPr="0065313E">
        <w:rPr>
          <w:sz w:val="22"/>
          <w:szCs w:val="22"/>
        </w:rPr>
        <w:t>major, major or minor courses of study</w:t>
      </w:r>
      <w:r w:rsidR="00336F1F" w:rsidRPr="0065313E">
        <w:rPr>
          <w:sz w:val="22"/>
          <w:szCs w:val="22"/>
        </w:rPr>
        <w:t xml:space="preserve"> </w:t>
      </w:r>
      <w:r w:rsidR="00CD7540" w:rsidRPr="0065313E">
        <w:rPr>
          <w:sz w:val="22"/>
          <w:szCs w:val="22"/>
        </w:rPr>
        <w:t>have access to academic advising and career development resources provided by the college</w:t>
      </w:r>
      <w:r w:rsidR="00270ABD" w:rsidRPr="0065313E">
        <w:rPr>
          <w:sz w:val="22"/>
          <w:szCs w:val="22"/>
        </w:rPr>
        <w:t xml:space="preserve">. </w:t>
      </w:r>
      <w:r w:rsidR="00B01505" w:rsidRPr="0065313E">
        <w:rPr>
          <w:sz w:val="22"/>
          <w:szCs w:val="22"/>
        </w:rPr>
        <w:t xml:space="preserve">Our </w:t>
      </w:r>
      <w:r w:rsidR="002804DD" w:rsidRPr="0065313E">
        <w:rPr>
          <w:sz w:val="22"/>
          <w:szCs w:val="22"/>
        </w:rPr>
        <w:t xml:space="preserve">academic and career </w:t>
      </w:r>
      <w:r w:rsidR="00B01505" w:rsidRPr="0065313E">
        <w:rPr>
          <w:sz w:val="22"/>
          <w:szCs w:val="22"/>
        </w:rPr>
        <w:t xml:space="preserve">advising staff spend </w:t>
      </w:r>
      <w:r>
        <w:rPr>
          <w:sz w:val="22"/>
          <w:szCs w:val="22"/>
        </w:rPr>
        <w:t>the majority of</w:t>
      </w:r>
      <w:r w:rsidR="00B01505" w:rsidRPr="0065313E">
        <w:rPr>
          <w:sz w:val="22"/>
          <w:szCs w:val="22"/>
        </w:rPr>
        <w:t xml:space="preserve"> their time </w:t>
      </w:r>
      <w:r w:rsidR="000B3E90" w:rsidRPr="0065313E">
        <w:rPr>
          <w:sz w:val="22"/>
          <w:szCs w:val="22"/>
        </w:rPr>
        <w:t>interacting directly with students</w:t>
      </w:r>
      <w:r>
        <w:rPr>
          <w:sz w:val="22"/>
          <w:szCs w:val="22"/>
        </w:rPr>
        <w:t>. T</w:t>
      </w:r>
      <w:r w:rsidR="00BA6990">
        <w:rPr>
          <w:sz w:val="22"/>
          <w:szCs w:val="22"/>
        </w:rPr>
        <w:t>heir coordinated objective is</w:t>
      </w:r>
      <w:r w:rsidR="00F16D3B" w:rsidRPr="0065313E">
        <w:rPr>
          <w:sz w:val="22"/>
          <w:szCs w:val="22"/>
        </w:rPr>
        <w:t xml:space="preserve"> to help students map out </w:t>
      </w:r>
      <w:r w:rsidR="00BA6990">
        <w:rPr>
          <w:sz w:val="22"/>
          <w:szCs w:val="22"/>
        </w:rPr>
        <w:t>an</w:t>
      </w:r>
      <w:r w:rsidR="00F16D3B" w:rsidRPr="0065313E">
        <w:rPr>
          <w:sz w:val="22"/>
          <w:szCs w:val="22"/>
        </w:rPr>
        <w:t xml:space="preserve"> academic journey and career </w:t>
      </w:r>
      <w:r w:rsidR="00BA6990">
        <w:rPr>
          <w:sz w:val="22"/>
          <w:szCs w:val="22"/>
        </w:rPr>
        <w:t>plan that maximizes the benefit they receive from their time a</w:t>
      </w:r>
      <w:r w:rsidR="00411641">
        <w:rPr>
          <w:sz w:val="22"/>
          <w:szCs w:val="22"/>
        </w:rPr>
        <w:t>t</w:t>
      </w:r>
      <w:r w:rsidR="00BA6990">
        <w:rPr>
          <w:sz w:val="22"/>
          <w:szCs w:val="22"/>
        </w:rPr>
        <w:t xml:space="preserve"> Lundquist</w:t>
      </w:r>
      <w:r w:rsidR="00F91155">
        <w:rPr>
          <w:sz w:val="22"/>
          <w:szCs w:val="22"/>
        </w:rPr>
        <w:t>.</w:t>
      </w:r>
      <w:r w:rsidR="00F91155" w:rsidRPr="0065313E">
        <w:rPr>
          <w:sz w:val="22"/>
          <w:szCs w:val="22"/>
        </w:rPr>
        <w:t xml:space="preserve"> </w:t>
      </w:r>
      <w:r w:rsidR="00071035">
        <w:rPr>
          <w:sz w:val="22"/>
          <w:szCs w:val="22"/>
        </w:rPr>
        <w:t xml:space="preserve">Due to </w:t>
      </w:r>
      <w:r w:rsidR="001A4412">
        <w:rPr>
          <w:sz w:val="22"/>
          <w:szCs w:val="22"/>
        </w:rPr>
        <w:t xml:space="preserve">enrollment </w:t>
      </w:r>
      <w:r w:rsidR="00071035">
        <w:rPr>
          <w:sz w:val="22"/>
          <w:szCs w:val="22"/>
        </w:rPr>
        <w:t>growth, our advisor</w:t>
      </w:r>
      <w:r w:rsidR="001A4412">
        <w:rPr>
          <w:sz w:val="22"/>
          <w:szCs w:val="22"/>
        </w:rPr>
        <w:t xml:space="preserve"> to student ratio is above 800/1, which is well outside of best practice</w:t>
      </w:r>
      <w:r w:rsidR="00F91155">
        <w:rPr>
          <w:sz w:val="22"/>
          <w:szCs w:val="22"/>
        </w:rPr>
        <w:t xml:space="preserve">. </w:t>
      </w:r>
      <w:r w:rsidR="006B3169">
        <w:rPr>
          <w:sz w:val="22"/>
          <w:szCs w:val="22"/>
        </w:rPr>
        <w:t xml:space="preserve">Differential tuition </w:t>
      </w:r>
      <w:r w:rsidR="00881786">
        <w:rPr>
          <w:sz w:val="22"/>
          <w:szCs w:val="22"/>
        </w:rPr>
        <w:t xml:space="preserve">will </w:t>
      </w:r>
      <w:r w:rsidR="006B3169">
        <w:rPr>
          <w:sz w:val="22"/>
          <w:szCs w:val="22"/>
        </w:rPr>
        <w:t xml:space="preserve">help us add </w:t>
      </w:r>
      <w:r w:rsidR="00C319F2">
        <w:rPr>
          <w:sz w:val="22"/>
          <w:szCs w:val="22"/>
        </w:rPr>
        <w:t>needed capacity.</w:t>
      </w:r>
    </w:p>
    <w:p w14:paraId="32F14CC8" w14:textId="77777777" w:rsidR="00C83281" w:rsidRDefault="00C83281">
      <w:pPr>
        <w:rPr>
          <w:sz w:val="22"/>
          <w:szCs w:val="22"/>
        </w:rPr>
      </w:pPr>
    </w:p>
    <w:p w14:paraId="2CA88602" w14:textId="3F5207B0" w:rsidR="00681365" w:rsidRDefault="00D0631B">
      <w:pPr>
        <w:rPr>
          <w:sz w:val="22"/>
          <w:szCs w:val="22"/>
        </w:rPr>
      </w:pPr>
      <w:r w:rsidRPr="0065313E">
        <w:rPr>
          <w:sz w:val="22"/>
          <w:szCs w:val="22"/>
        </w:rPr>
        <w:t xml:space="preserve">We </w:t>
      </w:r>
      <w:r w:rsidR="00FB135F">
        <w:rPr>
          <w:sz w:val="22"/>
          <w:szCs w:val="22"/>
        </w:rPr>
        <w:t xml:space="preserve">offer </w:t>
      </w:r>
      <w:r w:rsidR="00043AA8">
        <w:rPr>
          <w:sz w:val="22"/>
          <w:szCs w:val="22"/>
        </w:rPr>
        <w:t xml:space="preserve">multiple </w:t>
      </w:r>
      <w:r w:rsidR="00366694">
        <w:rPr>
          <w:sz w:val="22"/>
          <w:szCs w:val="22"/>
        </w:rPr>
        <w:t xml:space="preserve">first-year programs </w:t>
      </w:r>
      <w:r w:rsidR="00E154CE">
        <w:rPr>
          <w:sz w:val="22"/>
          <w:szCs w:val="22"/>
        </w:rPr>
        <w:t xml:space="preserve">for </w:t>
      </w:r>
      <w:r w:rsidR="00656931">
        <w:rPr>
          <w:sz w:val="22"/>
          <w:szCs w:val="22"/>
        </w:rPr>
        <w:t xml:space="preserve">students interested in business, </w:t>
      </w:r>
      <w:r w:rsidR="00C80F14">
        <w:rPr>
          <w:sz w:val="22"/>
          <w:szCs w:val="22"/>
        </w:rPr>
        <w:t>such as the Business Academic Residential community (BizARC)</w:t>
      </w:r>
      <w:r w:rsidR="00C941F8">
        <w:rPr>
          <w:sz w:val="22"/>
          <w:szCs w:val="22"/>
        </w:rPr>
        <w:t>, a summer bridge program, and a peer mentoring program called Flight School</w:t>
      </w:r>
      <w:r w:rsidR="00270ABD">
        <w:rPr>
          <w:sz w:val="22"/>
          <w:szCs w:val="22"/>
        </w:rPr>
        <w:t xml:space="preserve">. </w:t>
      </w:r>
      <w:r w:rsidR="00C941F8">
        <w:rPr>
          <w:sz w:val="22"/>
          <w:szCs w:val="22"/>
        </w:rPr>
        <w:t xml:space="preserve">Interest in Flight School has </w:t>
      </w:r>
      <w:r w:rsidR="002A504D">
        <w:rPr>
          <w:sz w:val="22"/>
          <w:szCs w:val="22"/>
        </w:rPr>
        <w:t xml:space="preserve">more than tripled </w:t>
      </w:r>
      <w:r w:rsidR="00CC574A">
        <w:rPr>
          <w:sz w:val="22"/>
          <w:szCs w:val="22"/>
        </w:rPr>
        <w:t xml:space="preserve">since the last academic year, and </w:t>
      </w:r>
      <w:r w:rsidR="0002502F">
        <w:rPr>
          <w:sz w:val="22"/>
          <w:szCs w:val="22"/>
        </w:rPr>
        <w:t>we have</w:t>
      </w:r>
      <w:r w:rsidR="00CC574A">
        <w:rPr>
          <w:sz w:val="22"/>
          <w:szCs w:val="22"/>
        </w:rPr>
        <w:t xml:space="preserve"> had to cap</w:t>
      </w:r>
      <w:r w:rsidR="008222E1">
        <w:rPr>
          <w:sz w:val="22"/>
          <w:szCs w:val="22"/>
        </w:rPr>
        <w:t xml:space="preserve"> the number of students </w:t>
      </w:r>
      <w:r w:rsidR="004D3B8E">
        <w:rPr>
          <w:sz w:val="22"/>
          <w:szCs w:val="22"/>
        </w:rPr>
        <w:t xml:space="preserve">who can </w:t>
      </w:r>
      <w:r w:rsidR="003A042C">
        <w:rPr>
          <w:sz w:val="22"/>
          <w:szCs w:val="22"/>
        </w:rPr>
        <w:t>join</w:t>
      </w:r>
      <w:r w:rsidR="004D3B8E">
        <w:rPr>
          <w:sz w:val="22"/>
          <w:szCs w:val="22"/>
        </w:rPr>
        <w:t xml:space="preserve"> the program</w:t>
      </w:r>
      <w:r w:rsidR="008222E1">
        <w:rPr>
          <w:sz w:val="22"/>
          <w:szCs w:val="22"/>
        </w:rPr>
        <w:t xml:space="preserve"> until we</w:t>
      </w:r>
      <w:r w:rsidR="001D4D5A">
        <w:rPr>
          <w:sz w:val="22"/>
          <w:szCs w:val="22"/>
        </w:rPr>
        <w:t xml:space="preserve"> can devise ways to increase capacity.</w:t>
      </w:r>
      <w:r w:rsidR="00A96D23">
        <w:rPr>
          <w:sz w:val="22"/>
          <w:szCs w:val="22"/>
        </w:rPr>
        <w:t xml:space="preserve"> </w:t>
      </w:r>
      <w:r w:rsidR="00681365">
        <w:rPr>
          <w:sz w:val="22"/>
          <w:szCs w:val="22"/>
        </w:rPr>
        <w:t>We operate a robust tutoring program designed to help students in our pre-business core</w:t>
      </w:r>
      <w:r w:rsidR="00881786">
        <w:rPr>
          <w:sz w:val="22"/>
          <w:szCs w:val="22"/>
        </w:rPr>
        <w:t xml:space="preserve"> classes, </w:t>
      </w:r>
      <w:r w:rsidR="00681365">
        <w:rPr>
          <w:sz w:val="22"/>
          <w:szCs w:val="22"/>
        </w:rPr>
        <w:t>which include courses outside of the college, such as math and economics</w:t>
      </w:r>
      <w:r w:rsidR="00881786">
        <w:rPr>
          <w:sz w:val="22"/>
          <w:szCs w:val="22"/>
        </w:rPr>
        <w:t xml:space="preserve">, </w:t>
      </w:r>
      <w:r w:rsidR="00681365">
        <w:rPr>
          <w:sz w:val="22"/>
          <w:szCs w:val="22"/>
        </w:rPr>
        <w:t xml:space="preserve">so students can master the material and achieve good grades. </w:t>
      </w:r>
    </w:p>
    <w:p w14:paraId="30B0A00E" w14:textId="77777777" w:rsidR="003E3720" w:rsidRDefault="003E3720" w:rsidP="00681365">
      <w:pPr>
        <w:rPr>
          <w:sz w:val="22"/>
          <w:szCs w:val="22"/>
        </w:rPr>
      </w:pPr>
    </w:p>
    <w:p w14:paraId="006AEE16" w14:textId="090087DE" w:rsidR="00681365" w:rsidRDefault="00681365" w:rsidP="00681365">
      <w:pPr>
        <w:rPr>
          <w:sz w:val="22"/>
          <w:szCs w:val="22"/>
        </w:rPr>
      </w:pPr>
      <w:r>
        <w:rPr>
          <w:sz w:val="22"/>
          <w:szCs w:val="22"/>
        </w:rPr>
        <w:t xml:space="preserve">As is typical for all good business schools, our </w:t>
      </w:r>
      <w:r w:rsidR="00881786">
        <w:rPr>
          <w:sz w:val="22"/>
          <w:szCs w:val="22"/>
        </w:rPr>
        <w:t xml:space="preserve">staff in </w:t>
      </w:r>
      <w:r>
        <w:rPr>
          <w:sz w:val="22"/>
          <w:szCs w:val="22"/>
        </w:rPr>
        <w:t xml:space="preserve">career services </w:t>
      </w:r>
      <w:r w:rsidR="00881786">
        <w:rPr>
          <w:sz w:val="22"/>
          <w:szCs w:val="22"/>
        </w:rPr>
        <w:t xml:space="preserve">not only </w:t>
      </w:r>
      <w:r w:rsidR="00A96D23">
        <w:rPr>
          <w:sz w:val="22"/>
          <w:szCs w:val="22"/>
        </w:rPr>
        <w:t>provide</w:t>
      </w:r>
      <w:r>
        <w:rPr>
          <w:sz w:val="22"/>
          <w:szCs w:val="22"/>
        </w:rPr>
        <w:t xml:space="preserve"> career advising but actively build employer</w:t>
      </w:r>
      <w:r w:rsidR="00A96D23">
        <w:rPr>
          <w:sz w:val="22"/>
          <w:szCs w:val="22"/>
        </w:rPr>
        <w:t>,</w:t>
      </w:r>
      <w:r>
        <w:rPr>
          <w:sz w:val="22"/>
          <w:szCs w:val="22"/>
        </w:rPr>
        <w:t xml:space="preserve"> </w:t>
      </w:r>
      <w:r w:rsidR="00A96D23">
        <w:rPr>
          <w:sz w:val="22"/>
          <w:szCs w:val="22"/>
        </w:rPr>
        <w:t>recruiter,</w:t>
      </w:r>
      <w:r>
        <w:rPr>
          <w:sz w:val="22"/>
          <w:szCs w:val="22"/>
        </w:rPr>
        <w:t xml:space="preserve"> and alumni networks to get our students jobs. </w:t>
      </w:r>
      <w:r w:rsidR="004479C5">
        <w:rPr>
          <w:sz w:val="22"/>
          <w:szCs w:val="22"/>
        </w:rPr>
        <w:t>We have two industry recruiters (down from three</w:t>
      </w:r>
      <w:r w:rsidR="00881786">
        <w:rPr>
          <w:sz w:val="22"/>
          <w:szCs w:val="22"/>
        </w:rPr>
        <w:t>, due to budget constraints</w:t>
      </w:r>
      <w:r w:rsidR="004479C5">
        <w:rPr>
          <w:sz w:val="22"/>
          <w:szCs w:val="22"/>
        </w:rPr>
        <w:t xml:space="preserve">) who build relationships with key employers of our graduates, facilitate internship opportunities and interviews for our students, and host major employer connection events throughout the year. Our alumni engagement staff </w:t>
      </w:r>
      <w:r w:rsidR="00AD2922">
        <w:rPr>
          <w:sz w:val="22"/>
          <w:szCs w:val="22"/>
        </w:rPr>
        <w:t>complement</w:t>
      </w:r>
      <w:r w:rsidR="004479C5">
        <w:rPr>
          <w:sz w:val="22"/>
          <w:szCs w:val="22"/>
        </w:rPr>
        <w:t xml:space="preserve"> this work by </w:t>
      </w:r>
      <w:r>
        <w:rPr>
          <w:sz w:val="22"/>
          <w:szCs w:val="22"/>
        </w:rPr>
        <w:t xml:space="preserve">systematically </w:t>
      </w:r>
      <w:r w:rsidRPr="0065313E">
        <w:rPr>
          <w:sz w:val="22"/>
          <w:szCs w:val="22"/>
        </w:rPr>
        <w:t>leverag</w:t>
      </w:r>
      <w:r w:rsidR="004479C5">
        <w:rPr>
          <w:sz w:val="22"/>
          <w:szCs w:val="22"/>
        </w:rPr>
        <w:t>ing</w:t>
      </w:r>
      <w:r w:rsidRPr="0065313E">
        <w:rPr>
          <w:sz w:val="22"/>
          <w:szCs w:val="22"/>
        </w:rPr>
        <w:t xml:space="preserve"> our alumni network to help our students find mentors, internships, and</w:t>
      </w:r>
      <w:r>
        <w:rPr>
          <w:sz w:val="22"/>
          <w:szCs w:val="22"/>
        </w:rPr>
        <w:t xml:space="preserve"> post-</w:t>
      </w:r>
      <w:r w:rsidRPr="0065313E">
        <w:rPr>
          <w:sz w:val="22"/>
          <w:szCs w:val="22"/>
        </w:rPr>
        <w:t>graduation</w:t>
      </w:r>
      <w:r>
        <w:rPr>
          <w:sz w:val="22"/>
          <w:szCs w:val="22"/>
        </w:rPr>
        <w:t xml:space="preserve"> jobs</w:t>
      </w:r>
      <w:r w:rsidRPr="0065313E">
        <w:rPr>
          <w:sz w:val="22"/>
          <w:szCs w:val="22"/>
        </w:rPr>
        <w:t xml:space="preserve">. </w:t>
      </w:r>
    </w:p>
    <w:p w14:paraId="4679E52D" w14:textId="77777777" w:rsidR="00881786" w:rsidRDefault="00881786" w:rsidP="00681365">
      <w:pPr>
        <w:rPr>
          <w:sz w:val="22"/>
          <w:szCs w:val="22"/>
        </w:rPr>
      </w:pPr>
    </w:p>
    <w:p w14:paraId="2E6E2602" w14:textId="6C610AE0" w:rsidR="00C63866" w:rsidRDefault="00681365">
      <w:pPr>
        <w:rPr>
          <w:sz w:val="22"/>
          <w:szCs w:val="22"/>
        </w:rPr>
      </w:pPr>
      <w:r w:rsidRPr="0065313E">
        <w:rPr>
          <w:sz w:val="22"/>
          <w:szCs w:val="22"/>
        </w:rPr>
        <w:t xml:space="preserve">We have also invested in technology tools that help students </w:t>
      </w:r>
      <w:r w:rsidR="00763740">
        <w:rPr>
          <w:sz w:val="22"/>
          <w:szCs w:val="22"/>
        </w:rPr>
        <w:t xml:space="preserve">build and refine their resume, video and evaluate their interview skills, more easily connect with alumni, and otherwise </w:t>
      </w:r>
      <w:r w:rsidRPr="0065313E">
        <w:rPr>
          <w:sz w:val="22"/>
          <w:szCs w:val="22"/>
        </w:rPr>
        <w:t>accelerate</w:t>
      </w:r>
      <w:r>
        <w:rPr>
          <w:sz w:val="22"/>
          <w:szCs w:val="22"/>
        </w:rPr>
        <w:t xml:space="preserve"> </w:t>
      </w:r>
      <w:r w:rsidR="00763740">
        <w:rPr>
          <w:sz w:val="22"/>
          <w:szCs w:val="22"/>
        </w:rPr>
        <w:t>their</w:t>
      </w:r>
      <w:r w:rsidRPr="0065313E">
        <w:rPr>
          <w:sz w:val="22"/>
          <w:szCs w:val="22"/>
        </w:rPr>
        <w:t xml:space="preserve"> career readiness</w:t>
      </w:r>
      <w:r w:rsidR="00763740">
        <w:rPr>
          <w:sz w:val="22"/>
          <w:szCs w:val="22"/>
        </w:rPr>
        <w:t xml:space="preserve">. This </w:t>
      </w:r>
      <w:r>
        <w:rPr>
          <w:sz w:val="22"/>
          <w:szCs w:val="22"/>
        </w:rPr>
        <w:t>enable</w:t>
      </w:r>
      <w:r w:rsidR="00763740">
        <w:rPr>
          <w:sz w:val="22"/>
          <w:szCs w:val="22"/>
        </w:rPr>
        <w:t>s</w:t>
      </w:r>
      <w:r w:rsidRPr="0065313E">
        <w:rPr>
          <w:sz w:val="22"/>
          <w:szCs w:val="22"/>
        </w:rPr>
        <w:t xml:space="preserve"> the college to serve a large and steadily increasing </w:t>
      </w:r>
      <w:r>
        <w:rPr>
          <w:sz w:val="22"/>
          <w:szCs w:val="22"/>
        </w:rPr>
        <w:t>population</w:t>
      </w:r>
      <w:r w:rsidRPr="0065313E">
        <w:rPr>
          <w:sz w:val="22"/>
          <w:szCs w:val="22"/>
        </w:rPr>
        <w:t xml:space="preserve"> of students with a relatively small number of staff.</w:t>
      </w:r>
      <w:r>
        <w:rPr>
          <w:sz w:val="22"/>
          <w:szCs w:val="22"/>
        </w:rPr>
        <w:t xml:space="preserve"> </w:t>
      </w:r>
      <w:r w:rsidR="002446D2">
        <w:rPr>
          <w:sz w:val="22"/>
          <w:szCs w:val="22"/>
        </w:rPr>
        <w:t>Responding to industry demand, w</w:t>
      </w:r>
      <w:r>
        <w:rPr>
          <w:sz w:val="22"/>
          <w:szCs w:val="22"/>
        </w:rPr>
        <w:t>e have also been at the forefront of integrating artificial intelligence tools and skills into our curriculum.</w:t>
      </w:r>
      <w:r w:rsidR="00FD36FE">
        <w:rPr>
          <w:sz w:val="22"/>
          <w:szCs w:val="22"/>
        </w:rPr>
        <w:t xml:space="preserve"> </w:t>
      </w:r>
      <w:r w:rsidR="00C63866">
        <w:rPr>
          <w:sz w:val="22"/>
          <w:szCs w:val="22"/>
        </w:rPr>
        <w:t>We offer a series of short courses and seminars via the Professional Edge program covering timely topics and in-demand skills</w:t>
      </w:r>
      <w:r w:rsidR="00763740">
        <w:rPr>
          <w:sz w:val="22"/>
          <w:szCs w:val="22"/>
        </w:rPr>
        <w:t>, including generative artificial intelligence, data analytics and visualization, sales skills, and project/time management</w:t>
      </w:r>
      <w:r w:rsidR="00F91155">
        <w:rPr>
          <w:sz w:val="22"/>
          <w:szCs w:val="22"/>
        </w:rPr>
        <w:t xml:space="preserve">. </w:t>
      </w:r>
      <w:r w:rsidR="00C63866">
        <w:rPr>
          <w:sz w:val="22"/>
          <w:szCs w:val="22"/>
        </w:rPr>
        <w:t xml:space="preserve">Participants can earn micro-credentials by </w:t>
      </w:r>
      <w:r w:rsidR="00C63866">
        <w:rPr>
          <w:sz w:val="22"/>
          <w:szCs w:val="22"/>
        </w:rPr>
        <w:lastRenderedPageBreak/>
        <w:t>participating in these courses, which are o</w:t>
      </w:r>
      <w:r w:rsidR="0064712B">
        <w:rPr>
          <w:sz w:val="22"/>
          <w:szCs w:val="22"/>
        </w:rPr>
        <w:t>pen</w:t>
      </w:r>
      <w:r w:rsidR="00C63866">
        <w:rPr>
          <w:sz w:val="22"/>
          <w:szCs w:val="22"/>
        </w:rPr>
        <w:t xml:space="preserve"> free of charge to anyone on campus.</w:t>
      </w:r>
      <w:r w:rsidR="004479C5">
        <w:rPr>
          <w:sz w:val="22"/>
          <w:szCs w:val="22"/>
        </w:rPr>
        <w:t xml:space="preserve"> The programs now also offer career immersions where </w:t>
      </w:r>
      <w:r w:rsidR="002446D2">
        <w:rPr>
          <w:sz w:val="22"/>
          <w:szCs w:val="22"/>
        </w:rPr>
        <w:t xml:space="preserve">teams of </w:t>
      </w:r>
      <w:r w:rsidR="004479C5">
        <w:rPr>
          <w:sz w:val="22"/>
          <w:szCs w:val="22"/>
        </w:rPr>
        <w:t xml:space="preserve">students engage </w:t>
      </w:r>
      <w:r w:rsidR="002446D2">
        <w:rPr>
          <w:sz w:val="22"/>
          <w:szCs w:val="22"/>
        </w:rPr>
        <w:t>in</w:t>
      </w:r>
      <w:r w:rsidR="004479C5">
        <w:rPr>
          <w:sz w:val="22"/>
          <w:szCs w:val="22"/>
        </w:rPr>
        <w:t xml:space="preserve"> applied business projects developed by employers. </w:t>
      </w:r>
    </w:p>
    <w:p w14:paraId="0C91DE87" w14:textId="77777777" w:rsidR="002446D2" w:rsidRDefault="002446D2" w:rsidP="004479C5">
      <w:pPr>
        <w:rPr>
          <w:sz w:val="22"/>
          <w:szCs w:val="22"/>
        </w:rPr>
      </w:pPr>
    </w:p>
    <w:p w14:paraId="6128EE1E" w14:textId="4EA70525" w:rsidR="006C446B" w:rsidRDefault="004479C5">
      <w:pPr>
        <w:rPr>
          <w:sz w:val="22"/>
          <w:szCs w:val="22"/>
        </w:rPr>
      </w:pPr>
      <w:r>
        <w:rPr>
          <w:sz w:val="22"/>
          <w:szCs w:val="22"/>
        </w:rPr>
        <w:t>All our investments in student services converge on the linked goals of helping students move efficiently through the program to graduation and land great jobs when they are done. This translates to lower overall costs for students and their families and higher long-term earning potential. Importantly, all of our student success services are open to all pre-majors and majors, with most also available to business minors and other students on campus, including our tutoring services, the Professional Edge program, employer connection events, and most student clubs.</w:t>
      </w:r>
    </w:p>
    <w:p w14:paraId="6ED265C3" w14:textId="77777777" w:rsidR="003E3720" w:rsidRDefault="003E3720">
      <w:pPr>
        <w:rPr>
          <w:sz w:val="22"/>
          <w:szCs w:val="22"/>
        </w:rPr>
      </w:pPr>
    </w:p>
    <w:p w14:paraId="095F3C59" w14:textId="75B8BCDC" w:rsidR="00A20DCA" w:rsidRPr="0065313E" w:rsidRDefault="00A20DCA">
      <w:pPr>
        <w:rPr>
          <w:b/>
          <w:bCs/>
          <w:sz w:val="22"/>
          <w:szCs w:val="22"/>
          <w:u w:val="single"/>
        </w:rPr>
      </w:pPr>
      <w:r w:rsidRPr="0065313E">
        <w:rPr>
          <w:b/>
          <w:bCs/>
          <w:sz w:val="22"/>
          <w:szCs w:val="22"/>
          <w:u w:val="single"/>
        </w:rPr>
        <w:t>Addressing barriers to access</w:t>
      </w:r>
    </w:p>
    <w:p w14:paraId="07A28F6D" w14:textId="35C55BD6" w:rsidR="002A504D" w:rsidRDefault="002A504D">
      <w:pPr>
        <w:rPr>
          <w:sz w:val="22"/>
          <w:szCs w:val="22"/>
        </w:rPr>
      </w:pPr>
      <w:r>
        <w:rPr>
          <w:sz w:val="22"/>
          <w:szCs w:val="22"/>
        </w:rPr>
        <w:t xml:space="preserve">We understand that differential tuition can impact financial access to our business programs and degrees, but we are committed to doing as much as we can to mitigate this impact. First, </w:t>
      </w:r>
      <w:r w:rsidR="00035777" w:rsidRPr="0065313E">
        <w:rPr>
          <w:sz w:val="22"/>
          <w:szCs w:val="22"/>
        </w:rPr>
        <w:t xml:space="preserve">the college is distributing </w:t>
      </w:r>
      <w:r w:rsidR="00404A46">
        <w:rPr>
          <w:sz w:val="22"/>
          <w:szCs w:val="22"/>
        </w:rPr>
        <w:t>approximately $1</w:t>
      </w:r>
      <w:r w:rsidR="00653A7A">
        <w:rPr>
          <w:sz w:val="22"/>
          <w:szCs w:val="22"/>
        </w:rPr>
        <w:t xml:space="preserve"> </w:t>
      </w:r>
      <w:r w:rsidR="00404A46">
        <w:rPr>
          <w:sz w:val="22"/>
          <w:szCs w:val="22"/>
        </w:rPr>
        <w:t>m</w:t>
      </w:r>
      <w:r w:rsidR="00653A7A">
        <w:rPr>
          <w:sz w:val="22"/>
          <w:szCs w:val="22"/>
        </w:rPr>
        <w:t>illion</w:t>
      </w:r>
      <w:r w:rsidR="00404A46">
        <w:rPr>
          <w:sz w:val="22"/>
          <w:szCs w:val="22"/>
        </w:rPr>
        <w:t xml:space="preserve"> in </w:t>
      </w:r>
      <w:r w:rsidR="005575CD" w:rsidRPr="0065313E">
        <w:rPr>
          <w:sz w:val="22"/>
          <w:szCs w:val="22"/>
        </w:rPr>
        <w:t>scholarships to undergraduates</w:t>
      </w:r>
      <w:r w:rsidR="00653A7A">
        <w:rPr>
          <w:sz w:val="22"/>
          <w:szCs w:val="22"/>
        </w:rPr>
        <w:t xml:space="preserve"> annually</w:t>
      </w:r>
      <w:r w:rsidR="00270ABD" w:rsidRPr="0065313E">
        <w:rPr>
          <w:sz w:val="22"/>
          <w:szCs w:val="22"/>
        </w:rPr>
        <w:t xml:space="preserve">. </w:t>
      </w:r>
      <w:r w:rsidR="005575CD" w:rsidRPr="0065313E">
        <w:rPr>
          <w:sz w:val="22"/>
          <w:szCs w:val="22"/>
        </w:rPr>
        <w:t xml:space="preserve">Our award rubric </w:t>
      </w:r>
      <w:r w:rsidR="00066A5A" w:rsidRPr="0065313E">
        <w:rPr>
          <w:sz w:val="22"/>
          <w:szCs w:val="22"/>
        </w:rPr>
        <w:t>is designed to offer</w:t>
      </w:r>
      <w:r w:rsidR="008476D0" w:rsidRPr="0065313E">
        <w:rPr>
          <w:sz w:val="22"/>
          <w:szCs w:val="22"/>
        </w:rPr>
        <w:t xml:space="preserve"> the highest levels of</w:t>
      </w:r>
      <w:r w:rsidR="00066A5A" w:rsidRPr="0065313E">
        <w:rPr>
          <w:sz w:val="22"/>
          <w:szCs w:val="22"/>
        </w:rPr>
        <w:t xml:space="preserve"> support to students </w:t>
      </w:r>
      <w:r w:rsidR="009D1C2C" w:rsidRPr="0065313E">
        <w:rPr>
          <w:sz w:val="22"/>
          <w:szCs w:val="22"/>
        </w:rPr>
        <w:t>who combine academic achievement with financial need</w:t>
      </w:r>
      <w:r w:rsidR="00270ABD" w:rsidRPr="0065313E">
        <w:rPr>
          <w:sz w:val="22"/>
          <w:szCs w:val="22"/>
        </w:rPr>
        <w:t xml:space="preserve">. </w:t>
      </w:r>
      <w:r>
        <w:rPr>
          <w:sz w:val="22"/>
          <w:szCs w:val="22"/>
        </w:rPr>
        <w:t>In addition, we commit to having 10% of the differential tuition go to the Pathway</w:t>
      </w:r>
      <w:r w:rsidR="006C446B">
        <w:rPr>
          <w:sz w:val="22"/>
          <w:szCs w:val="22"/>
        </w:rPr>
        <w:t xml:space="preserve"> </w:t>
      </w:r>
      <w:r>
        <w:rPr>
          <w:sz w:val="22"/>
          <w:szCs w:val="22"/>
        </w:rPr>
        <w:t xml:space="preserve">Oregon program </w:t>
      </w:r>
      <w:r w:rsidR="00653A7A">
        <w:rPr>
          <w:sz w:val="22"/>
          <w:szCs w:val="22"/>
        </w:rPr>
        <w:t>for</w:t>
      </w:r>
      <w:r>
        <w:rPr>
          <w:sz w:val="22"/>
          <w:szCs w:val="22"/>
        </w:rPr>
        <w:t xml:space="preserve"> scholarships and other support to low-income </w:t>
      </w:r>
      <w:r w:rsidR="002446D2">
        <w:rPr>
          <w:sz w:val="22"/>
          <w:szCs w:val="22"/>
        </w:rPr>
        <w:t xml:space="preserve">Oregonian </w:t>
      </w:r>
      <w:r>
        <w:rPr>
          <w:sz w:val="22"/>
          <w:szCs w:val="22"/>
        </w:rPr>
        <w:t>students served by that program.</w:t>
      </w:r>
      <w:r w:rsidR="004C6082">
        <w:rPr>
          <w:sz w:val="22"/>
          <w:szCs w:val="22"/>
        </w:rPr>
        <w:t xml:space="preserve"> As mentioned, differential tuition also supports our bridge program and peer-mentoring program for first year students, which has been very important in providing access to underrepresented populations.</w:t>
      </w:r>
    </w:p>
    <w:p w14:paraId="56728030" w14:textId="77777777" w:rsidR="003E3720" w:rsidRDefault="003E3720">
      <w:pPr>
        <w:rPr>
          <w:sz w:val="22"/>
          <w:szCs w:val="22"/>
        </w:rPr>
      </w:pPr>
    </w:p>
    <w:p w14:paraId="66A5345C" w14:textId="6F6100B9" w:rsidR="00374D7F" w:rsidRDefault="002A504D">
      <w:pPr>
        <w:rPr>
          <w:sz w:val="22"/>
          <w:szCs w:val="22"/>
        </w:rPr>
      </w:pPr>
      <w:r>
        <w:rPr>
          <w:sz w:val="22"/>
          <w:szCs w:val="22"/>
        </w:rPr>
        <w:t>I</w:t>
      </w:r>
      <w:r w:rsidR="00191AC3">
        <w:rPr>
          <w:sz w:val="22"/>
          <w:szCs w:val="22"/>
        </w:rPr>
        <w:t>n</w:t>
      </w:r>
      <w:r>
        <w:rPr>
          <w:sz w:val="22"/>
          <w:szCs w:val="22"/>
        </w:rPr>
        <w:t xml:space="preserve"> our </w:t>
      </w:r>
      <w:r w:rsidR="00646962">
        <w:rPr>
          <w:sz w:val="22"/>
          <w:szCs w:val="22"/>
        </w:rPr>
        <w:t>c</w:t>
      </w:r>
      <w:r>
        <w:rPr>
          <w:sz w:val="22"/>
          <w:szCs w:val="22"/>
        </w:rPr>
        <w:t>ollege, w</w:t>
      </w:r>
      <w:r w:rsidR="00210C20">
        <w:rPr>
          <w:sz w:val="22"/>
          <w:szCs w:val="22"/>
        </w:rPr>
        <w:t xml:space="preserve">e also offer a separate pool of resources to help students </w:t>
      </w:r>
      <w:r w:rsidR="00732598">
        <w:rPr>
          <w:sz w:val="22"/>
          <w:szCs w:val="22"/>
        </w:rPr>
        <w:t xml:space="preserve">with financial need </w:t>
      </w:r>
      <w:r w:rsidR="004C6082">
        <w:rPr>
          <w:sz w:val="22"/>
          <w:szCs w:val="22"/>
        </w:rPr>
        <w:t xml:space="preserve">who </w:t>
      </w:r>
      <w:r w:rsidR="00732598">
        <w:rPr>
          <w:sz w:val="22"/>
          <w:szCs w:val="22"/>
        </w:rPr>
        <w:t xml:space="preserve">participate in experiential learning opportunities such as club memberships, </w:t>
      </w:r>
      <w:r w:rsidR="006A3D38">
        <w:rPr>
          <w:sz w:val="22"/>
          <w:szCs w:val="22"/>
        </w:rPr>
        <w:t>industry conferences, and internships</w:t>
      </w:r>
      <w:r w:rsidR="00270ABD">
        <w:rPr>
          <w:sz w:val="22"/>
          <w:szCs w:val="22"/>
        </w:rPr>
        <w:t xml:space="preserve">. </w:t>
      </w:r>
      <w:r w:rsidR="006A3D38">
        <w:rPr>
          <w:sz w:val="22"/>
          <w:szCs w:val="22"/>
        </w:rPr>
        <w:t xml:space="preserve">We are currently conducting research </w:t>
      </w:r>
      <w:r w:rsidR="005C42D5">
        <w:rPr>
          <w:sz w:val="22"/>
          <w:szCs w:val="22"/>
        </w:rPr>
        <w:t xml:space="preserve">into students who </w:t>
      </w:r>
      <w:r w:rsidR="00C85750">
        <w:rPr>
          <w:sz w:val="22"/>
          <w:szCs w:val="22"/>
        </w:rPr>
        <w:t>divert from</w:t>
      </w:r>
      <w:r w:rsidR="005C42D5">
        <w:rPr>
          <w:sz w:val="22"/>
          <w:szCs w:val="22"/>
        </w:rPr>
        <w:t xml:space="preserve"> our majors for reasons other than academic performance</w:t>
      </w:r>
      <w:r w:rsidR="0048634E">
        <w:rPr>
          <w:sz w:val="22"/>
          <w:szCs w:val="22"/>
        </w:rPr>
        <w:t xml:space="preserve"> so that we can identify </w:t>
      </w:r>
      <w:r w:rsidR="006F5030">
        <w:rPr>
          <w:sz w:val="22"/>
          <w:szCs w:val="22"/>
        </w:rPr>
        <w:t xml:space="preserve">financial barriers or other factors </w:t>
      </w:r>
      <w:r w:rsidR="0048634E">
        <w:rPr>
          <w:sz w:val="22"/>
          <w:szCs w:val="22"/>
        </w:rPr>
        <w:t>that might be driving this choice and develop interventions to retain qualified students</w:t>
      </w:r>
      <w:r w:rsidR="00270ABD">
        <w:rPr>
          <w:sz w:val="22"/>
          <w:szCs w:val="22"/>
        </w:rPr>
        <w:t xml:space="preserve">. </w:t>
      </w:r>
    </w:p>
    <w:p w14:paraId="776CF041" w14:textId="77777777" w:rsidR="00763740" w:rsidRDefault="00763740">
      <w:pPr>
        <w:rPr>
          <w:sz w:val="22"/>
          <w:szCs w:val="22"/>
        </w:rPr>
      </w:pPr>
    </w:p>
    <w:p w14:paraId="146EBA17" w14:textId="76E5B8A7" w:rsidR="00763740" w:rsidRPr="0065313E" w:rsidRDefault="00763740">
      <w:pPr>
        <w:rPr>
          <w:sz w:val="22"/>
          <w:szCs w:val="22"/>
        </w:rPr>
      </w:pPr>
      <w:r>
        <w:rPr>
          <w:sz w:val="22"/>
          <w:szCs w:val="22"/>
        </w:rPr>
        <w:t>On a final note, we have been very active in fundraising as another avenue to support our faculty costs, support these important student services, and increase scholarship funds. We will continue these efforts and have had substantial success (averaging over $20 million annually in the past few years), but it hasn’t been enough, for example, to stop our staffing levels from declining as our number of majors has increased by over 40% in the last five years.</w:t>
      </w:r>
    </w:p>
    <w:p w14:paraId="09B5FF2B" w14:textId="77777777" w:rsidR="003E3720" w:rsidRDefault="003E3720">
      <w:pPr>
        <w:rPr>
          <w:b/>
          <w:bCs/>
          <w:sz w:val="22"/>
          <w:szCs w:val="22"/>
          <w:u w:val="single"/>
        </w:rPr>
      </w:pPr>
    </w:p>
    <w:p w14:paraId="4374827C" w14:textId="1CE7F530" w:rsidR="00374D7F" w:rsidRPr="0065313E" w:rsidRDefault="00374D7F">
      <w:pPr>
        <w:rPr>
          <w:b/>
          <w:bCs/>
          <w:sz w:val="22"/>
          <w:szCs w:val="22"/>
          <w:u w:val="single"/>
        </w:rPr>
      </w:pPr>
      <w:r w:rsidRPr="0065313E">
        <w:rPr>
          <w:b/>
          <w:bCs/>
          <w:sz w:val="22"/>
          <w:szCs w:val="22"/>
          <w:u w:val="single"/>
        </w:rPr>
        <w:t>Discussion with students</w:t>
      </w:r>
    </w:p>
    <w:p w14:paraId="5CC00E65" w14:textId="0D2627A1" w:rsidR="00FF60B3" w:rsidRDefault="009E6F83" w:rsidP="00FF60B3">
      <w:pPr>
        <w:rPr>
          <w:sz w:val="22"/>
          <w:szCs w:val="22"/>
        </w:rPr>
      </w:pPr>
      <w:r w:rsidRPr="0065313E">
        <w:rPr>
          <w:sz w:val="22"/>
          <w:szCs w:val="22"/>
        </w:rPr>
        <w:t>Dean Bruce Blonigen met with</w:t>
      </w:r>
      <w:r w:rsidR="002C49B7">
        <w:rPr>
          <w:sz w:val="22"/>
          <w:szCs w:val="22"/>
        </w:rPr>
        <w:t xml:space="preserve"> the</w:t>
      </w:r>
      <w:r w:rsidRPr="0065313E">
        <w:rPr>
          <w:sz w:val="22"/>
          <w:szCs w:val="22"/>
        </w:rPr>
        <w:t xml:space="preserve"> </w:t>
      </w:r>
      <w:r w:rsidR="002C49B7" w:rsidRPr="0065313E">
        <w:rPr>
          <w:sz w:val="22"/>
          <w:szCs w:val="22"/>
        </w:rPr>
        <w:t>Dean’s</w:t>
      </w:r>
      <w:r w:rsidRPr="0065313E">
        <w:rPr>
          <w:sz w:val="22"/>
          <w:szCs w:val="22"/>
        </w:rPr>
        <w:t xml:space="preserve"> Council for Inter-Club Coordination (DCICC) on </w:t>
      </w:r>
      <w:r w:rsidRPr="00E348DC">
        <w:rPr>
          <w:sz w:val="22"/>
          <w:szCs w:val="22"/>
        </w:rPr>
        <w:t>October 10, 2025</w:t>
      </w:r>
      <w:r w:rsidRPr="0065313E">
        <w:rPr>
          <w:sz w:val="22"/>
          <w:szCs w:val="22"/>
        </w:rPr>
        <w:t xml:space="preserve"> to discuss the proposed increase to the differential tuition rate. </w:t>
      </w:r>
      <w:r w:rsidR="0044632D" w:rsidRPr="0065313E">
        <w:rPr>
          <w:sz w:val="22"/>
          <w:szCs w:val="22"/>
        </w:rPr>
        <w:t xml:space="preserve">Lundquist has </w:t>
      </w:r>
      <w:r w:rsidR="00DB1A48" w:rsidRPr="0065313E">
        <w:rPr>
          <w:sz w:val="22"/>
          <w:szCs w:val="22"/>
        </w:rPr>
        <w:t xml:space="preserve">many </w:t>
      </w:r>
      <w:r w:rsidR="003F2B7B" w:rsidRPr="0065313E">
        <w:rPr>
          <w:sz w:val="22"/>
          <w:szCs w:val="22"/>
        </w:rPr>
        <w:t>large, active student clubs and interest group</w:t>
      </w:r>
      <w:r w:rsidR="00842313" w:rsidRPr="0065313E">
        <w:rPr>
          <w:sz w:val="22"/>
          <w:szCs w:val="22"/>
        </w:rPr>
        <w:t xml:space="preserve">s, </w:t>
      </w:r>
      <w:r w:rsidR="003F2B7B" w:rsidRPr="0065313E">
        <w:rPr>
          <w:sz w:val="22"/>
          <w:szCs w:val="22"/>
        </w:rPr>
        <w:t>which means</w:t>
      </w:r>
      <w:r w:rsidR="00FF5BDE" w:rsidRPr="0065313E">
        <w:rPr>
          <w:sz w:val="22"/>
          <w:szCs w:val="22"/>
        </w:rPr>
        <w:t xml:space="preserve"> </w:t>
      </w:r>
      <w:r w:rsidR="00F5308C" w:rsidRPr="0065313E">
        <w:rPr>
          <w:sz w:val="22"/>
          <w:szCs w:val="22"/>
        </w:rPr>
        <w:t xml:space="preserve">student </w:t>
      </w:r>
      <w:r w:rsidR="00336E38" w:rsidRPr="0065313E">
        <w:rPr>
          <w:sz w:val="22"/>
          <w:szCs w:val="22"/>
        </w:rPr>
        <w:t xml:space="preserve">leaders </w:t>
      </w:r>
      <w:r w:rsidR="00F5308C" w:rsidRPr="0065313E">
        <w:rPr>
          <w:sz w:val="22"/>
          <w:szCs w:val="22"/>
        </w:rPr>
        <w:t>in the DCICC</w:t>
      </w:r>
      <w:r w:rsidR="00FF5BDE" w:rsidRPr="0065313E">
        <w:rPr>
          <w:sz w:val="22"/>
          <w:szCs w:val="22"/>
        </w:rPr>
        <w:t xml:space="preserve"> represent </w:t>
      </w:r>
      <w:r w:rsidR="00336E38" w:rsidRPr="0065313E">
        <w:rPr>
          <w:sz w:val="22"/>
          <w:szCs w:val="22"/>
        </w:rPr>
        <w:t xml:space="preserve">a broad </w:t>
      </w:r>
      <w:r w:rsidR="00B74175" w:rsidRPr="0065313E">
        <w:rPr>
          <w:sz w:val="22"/>
          <w:szCs w:val="22"/>
        </w:rPr>
        <w:t>and diverse sample of Lundquist students</w:t>
      </w:r>
      <w:r w:rsidR="00646928" w:rsidRPr="0065313E">
        <w:rPr>
          <w:sz w:val="22"/>
          <w:szCs w:val="22"/>
        </w:rPr>
        <w:t>.</w:t>
      </w:r>
      <w:r w:rsidR="00336E38" w:rsidRPr="0065313E">
        <w:rPr>
          <w:sz w:val="22"/>
          <w:szCs w:val="22"/>
        </w:rPr>
        <w:t xml:space="preserve"> </w:t>
      </w:r>
      <w:r w:rsidR="00F6012F" w:rsidRPr="0065313E">
        <w:rPr>
          <w:sz w:val="22"/>
          <w:szCs w:val="22"/>
        </w:rPr>
        <w:t>The students were ge</w:t>
      </w:r>
      <w:r w:rsidR="006A549C" w:rsidRPr="0065313E">
        <w:rPr>
          <w:sz w:val="22"/>
          <w:szCs w:val="22"/>
        </w:rPr>
        <w:t xml:space="preserve">nerally supportive of the increase, citing the </w:t>
      </w:r>
      <w:r w:rsidR="005677EE" w:rsidRPr="0065313E">
        <w:rPr>
          <w:sz w:val="22"/>
          <w:szCs w:val="22"/>
        </w:rPr>
        <w:t xml:space="preserve">value they perceive in the </w:t>
      </w:r>
      <w:r w:rsidR="006A549C" w:rsidRPr="0065313E">
        <w:rPr>
          <w:sz w:val="22"/>
          <w:szCs w:val="22"/>
        </w:rPr>
        <w:t>additional ser</w:t>
      </w:r>
      <w:r w:rsidR="00401AE8" w:rsidRPr="0065313E">
        <w:rPr>
          <w:sz w:val="22"/>
          <w:szCs w:val="22"/>
        </w:rPr>
        <w:t xml:space="preserve">vices that the college offers and the importance of preserving </w:t>
      </w:r>
      <w:r w:rsidR="00F1594A" w:rsidRPr="0065313E">
        <w:rPr>
          <w:sz w:val="22"/>
          <w:szCs w:val="22"/>
        </w:rPr>
        <w:t xml:space="preserve">and strengthening </w:t>
      </w:r>
      <w:r w:rsidR="00401AE8" w:rsidRPr="0065313E">
        <w:rPr>
          <w:sz w:val="22"/>
          <w:szCs w:val="22"/>
        </w:rPr>
        <w:t>them</w:t>
      </w:r>
      <w:r w:rsidR="00270ABD" w:rsidRPr="0065313E">
        <w:rPr>
          <w:sz w:val="22"/>
          <w:szCs w:val="22"/>
        </w:rPr>
        <w:t xml:space="preserve">. </w:t>
      </w:r>
      <w:r w:rsidR="00401AE8" w:rsidRPr="0065313E">
        <w:rPr>
          <w:sz w:val="22"/>
          <w:szCs w:val="22"/>
        </w:rPr>
        <w:t xml:space="preserve">They see positive momentum across the college, </w:t>
      </w:r>
      <w:r w:rsidR="00061B3A" w:rsidRPr="0065313E">
        <w:rPr>
          <w:sz w:val="22"/>
          <w:szCs w:val="22"/>
        </w:rPr>
        <w:t xml:space="preserve">with student club participation growing, </w:t>
      </w:r>
      <w:r w:rsidR="00807269" w:rsidRPr="0065313E">
        <w:rPr>
          <w:sz w:val="22"/>
          <w:szCs w:val="22"/>
        </w:rPr>
        <w:t xml:space="preserve">excellent placement results for recent graduates, and </w:t>
      </w:r>
      <w:r w:rsidR="00CC3178" w:rsidRPr="0065313E">
        <w:rPr>
          <w:sz w:val="22"/>
          <w:szCs w:val="22"/>
        </w:rPr>
        <w:t xml:space="preserve">innovative programs like Professional Edge </w:t>
      </w:r>
      <w:r w:rsidR="00DB1A48" w:rsidRPr="0065313E">
        <w:rPr>
          <w:sz w:val="22"/>
          <w:szCs w:val="22"/>
        </w:rPr>
        <w:t>and career immersions</w:t>
      </w:r>
      <w:r w:rsidR="00270ABD" w:rsidRPr="0065313E">
        <w:rPr>
          <w:sz w:val="22"/>
          <w:szCs w:val="22"/>
        </w:rPr>
        <w:t xml:space="preserve">. </w:t>
      </w:r>
      <w:r w:rsidR="006F464A" w:rsidRPr="0065313E">
        <w:rPr>
          <w:sz w:val="22"/>
          <w:szCs w:val="22"/>
        </w:rPr>
        <w:t xml:space="preserve">They also </w:t>
      </w:r>
      <w:r w:rsidR="00E005AF">
        <w:rPr>
          <w:sz w:val="22"/>
          <w:szCs w:val="22"/>
        </w:rPr>
        <w:t>view</w:t>
      </w:r>
      <w:r w:rsidR="00820225" w:rsidRPr="0065313E">
        <w:rPr>
          <w:sz w:val="22"/>
          <w:szCs w:val="22"/>
        </w:rPr>
        <w:t xml:space="preserve"> </w:t>
      </w:r>
      <w:r w:rsidR="00B3488F" w:rsidRPr="0065313E">
        <w:rPr>
          <w:sz w:val="22"/>
          <w:szCs w:val="22"/>
        </w:rPr>
        <w:t>membership in the</w:t>
      </w:r>
      <w:r w:rsidR="005677EE" w:rsidRPr="0065313E">
        <w:rPr>
          <w:sz w:val="22"/>
          <w:szCs w:val="22"/>
        </w:rPr>
        <w:t xml:space="preserve"> B1G as</w:t>
      </w:r>
      <w:r w:rsidR="00EF4416" w:rsidRPr="0065313E">
        <w:rPr>
          <w:sz w:val="22"/>
          <w:szCs w:val="22"/>
        </w:rPr>
        <w:t xml:space="preserve"> a</w:t>
      </w:r>
      <w:r w:rsidR="00B3488F" w:rsidRPr="0065313E">
        <w:rPr>
          <w:sz w:val="22"/>
          <w:szCs w:val="22"/>
        </w:rPr>
        <w:t xml:space="preserve">n exciting </w:t>
      </w:r>
      <w:r w:rsidR="00DB1A48" w:rsidRPr="0065313E">
        <w:rPr>
          <w:sz w:val="22"/>
          <w:szCs w:val="22"/>
        </w:rPr>
        <w:t>opportunity but</w:t>
      </w:r>
      <w:r w:rsidR="00B3488F" w:rsidRPr="0065313E">
        <w:rPr>
          <w:sz w:val="22"/>
          <w:szCs w:val="22"/>
        </w:rPr>
        <w:t xml:space="preserve"> </w:t>
      </w:r>
      <w:r w:rsidR="007D5C67" w:rsidRPr="0065313E">
        <w:rPr>
          <w:sz w:val="22"/>
          <w:szCs w:val="22"/>
        </w:rPr>
        <w:t xml:space="preserve">noted that </w:t>
      </w:r>
      <w:r w:rsidR="00137B70" w:rsidRPr="0065313E">
        <w:rPr>
          <w:sz w:val="22"/>
          <w:szCs w:val="22"/>
        </w:rPr>
        <w:t xml:space="preserve">the college will need to </w:t>
      </w:r>
      <w:r w:rsidR="004C16C8" w:rsidRPr="0065313E">
        <w:rPr>
          <w:sz w:val="22"/>
          <w:szCs w:val="22"/>
        </w:rPr>
        <w:t>continue to innovate and grow to keep pace with this new set of peers</w:t>
      </w:r>
      <w:r w:rsidR="00270ABD" w:rsidRPr="0065313E">
        <w:rPr>
          <w:sz w:val="22"/>
          <w:szCs w:val="22"/>
        </w:rPr>
        <w:t xml:space="preserve">. </w:t>
      </w:r>
      <w:r w:rsidR="00F1594A" w:rsidRPr="0065313E">
        <w:rPr>
          <w:sz w:val="22"/>
          <w:szCs w:val="22"/>
        </w:rPr>
        <w:t xml:space="preserve">They </w:t>
      </w:r>
      <w:r w:rsidR="00DC4A21">
        <w:rPr>
          <w:sz w:val="22"/>
          <w:szCs w:val="22"/>
        </w:rPr>
        <w:t xml:space="preserve">offered helpful feedback </w:t>
      </w:r>
      <w:r w:rsidR="00DB7934">
        <w:rPr>
          <w:sz w:val="22"/>
          <w:szCs w:val="22"/>
        </w:rPr>
        <w:t xml:space="preserve">regarding the importance of </w:t>
      </w:r>
      <w:r w:rsidR="00ED4DB6" w:rsidRPr="0065313E">
        <w:rPr>
          <w:sz w:val="22"/>
          <w:szCs w:val="22"/>
        </w:rPr>
        <w:t>clearly communica</w:t>
      </w:r>
      <w:r w:rsidR="00DB7934">
        <w:rPr>
          <w:sz w:val="22"/>
          <w:szCs w:val="22"/>
        </w:rPr>
        <w:t>ting</w:t>
      </w:r>
      <w:r w:rsidR="00F1594A" w:rsidRPr="0065313E">
        <w:rPr>
          <w:sz w:val="22"/>
          <w:szCs w:val="22"/>
        </w:rPr>
        <w:t xml:space="preserve"> how </w:t>
      </w:r>
      <w:r w:rsidR="007804E1" w:rsidRPr="0065313E">
        <w:rPr>
          <w:sz w:val="22"/>
          <w:szCs w:val="22"/>
        </w:rPr>
        <w:t>differential tuition revenue is used to benefit students</w:t>
      </w:r>
      <w:r w:rsidR="00DC4A21">
        <w:rPr>
          <w:sz w:val="22"/>
          <w:szCs w:val="22"/>
        </w:rPr>
        <w:t>,</w:t>
      </w:r>
      <w:r w:rsidR="00DB7934">
        <w:rPr>
          <w:sz w:val="22"/>
          <w:szCs w:val="22"/>
        </w:rPr>
        <w:t xml:space="preserve"> which we </w:t>
      </w:r>
      <w:r w:rsidR="00272763">
        <w:rPr>
          <w:sz w:val="22"/>
          <w:szCs w:val="22"/>
        </w:rPr>
        <w:t xml:space="preserve">plan to </w:t>
      </w:r>
      <w:r w:rsidR="000F38B5">
        <w:rPr>
          <w:sz w:val="22"/>
          <w:szCs w:val="22"/>
        </w:rPr>
        <w:t xml:space="preserve">incorporate into our overall plan for communicating with </w:t>
      </w:r>
      <w:r w:rsidR="007D028A">
        <w:rPr>
          <w:sz w:val="22"/>
          <w:szCs w:val="22"/>
        </w:rPr>
        <w:t xml:space="preserve">our </w:t>
      </w:r>
      <w:r w:rsidR="000F38B5">
        <w:rPr>
          <w:sz w:val="22"/>
          <w:szCs w:val="22"/>
        </w:rPr>
        <w:t>undergraduate community.</w:t>
      </w:r>
      <w:r w:rsidR="004C6082">
        <w:rPr>
          <w:sz w:val="22"/>
          <w:szCs w:val="22"/>
        </w:rPr>
        <w:t xml:space="preserve"> In summary</w:t>
      </w:r>
      <w:r w:rsidR="00FF60B3">
        <w:rPr>
          <w:sz w:val="22"/>
          <w:szCs w:val="22"/>
        </w:rPr>
        <w:t>, student feedback suggests that our business students understand these tradeoffs and prefer to pay a bit extra to preserve the high</w:t>
      </w:r>
      <w:r w:rsidR="00752F14">
        <w:rPr>
          <w:sz w:val="22"/>
          <w:szCs w:val="22"/>
        </w:rPr>
        <w:t>-</w:t>
      </w:r>
      <w:r w:rsidR="00FF60B3">
        <w:rPr>
          <w:sz w:val="22"/>
          <w:szCs w:val="22"/>
        </w:rPr>
        <w:t>quality teaching and student services we currently provide.</w:t>
      </w:r>
    </w:p>
    <w:p w14:paraId="5A3259AD" w14:textId="77777777" w:rsidR="00662049" w:rsidRDefault="00662049" w:rsidP="00FF60B3">
      <w:pPr>
        <w:rPr>
          <w:sz w:val="22"/>
          <w:szCs w:val="22"/>
        </w:rPr>
      </w:pPr>
    </w:p>
    <w:p w14:paraId="0DD216AE" w14:textId="7765AD31" w:rsidR="00000E34" w:rsidRDefault="00A460C3" w:rsidP="00000E34">
      <w:pPr>
        <w:rPr>
          <w:b/>
          <w:bCs/>
          <w:sz w:val="22"/>
          <w:szCs w:val="22"/>
          <w:u w:val="single"/>
        </w:rPr>
      </w:pPr>
      <w:r>
        <w:rPr>
          <w:b/>
          <w:bCs/>
          <w:sz w:val="22"/>
          <w:szCs w:val="22"/>
          <w:u w:val="single"/>
        </w:rPr>
        <w:t>Our proposed differential tuition rate relative to other comparators</w:t>
      </w:r>
    </w:p>
    <w:p w14:paraId="676D46B7" w14:textId="12B237E6" w:rsidR="004C6082" w:rsidRDefault="00A460C3" w:rsidP="004C6082">
      <w:pPr>
        <w:rPr>
          <w:sz w:val="22"/>
          <w:szCs w:val="22"/>
        </w:rPr>
      </w:pPr>
      <w:r>
        <w:rPr>
          <w:sz w:val="22"/>
          <w:szCs w:val="22"/>
        </w:rPr>
        <w:t>Many, if not most, public universities have a higher (differential) tuition rate for business curriculum relative to other majors. (Engineering is the other common major where higher differential tuition is typically charged</w:t>
      </w:r>
      <w:r w:rsidR="00360917">
        <w:rPr>
          <w:sz w:val="22"/>
          <w:szCs w:val="22"/>
        </w:rPr>
        <w:t>.</w:t>
      </w:r>
      <w:r>
        <w:rPr>
          <w:sz w:val="22"/>
          <w:szCs w:val="22"/>
        </w:rPr>
        <w:t xml:space="preserve">)  </w:t>
      </w:r>
      <w:r w:rsidR="004C6082">
        <w:rPr>
          <w:sz w:val="22"/>
          <w:szCs w:val="22"/>
        </w:rPr>
        <w:t xml:space="preserve">As </w:t>
      </w:r>
      <w:r w:rsidR="004C6082">
        <w:rPr>
          <w:sz w:val="22"/>
          <w:szCs w:val="22"/>
        </w:rPr>
        <w:lastRenderedPageBreak/>
        <w:t xml:space="preserve">we show next, the data indicate that our </w:t>
      </w:r>
      <w:r w:rsidR="004C6082" w:rsidRPr="0065313E">
        <w:rPr>
          <w:sz w:val="22"/>
          <w:szCs w:val="22"/>
        </w:rPr>
        <w:t>proposed increase</w:t>
      </w:r>
      <w:r w:rsidR="004C6082">
        <w:rPr>
          <w:sz w:val="22"/>
          <w:szCs w:val="22"/>
        </w:rPr>
        <w:t xml:space="preserve"> to a differential tuition rate of $50 per credit hour</w:t>
      </w:r>
      <w:r w:rsidR="004C6082" w:rsidRPr="0065313E">
        <w:rPr>
          <w:sz w:val="22"/>
          <w:szCs w:val="22"/>
        </w:rPr>
        <w:t xml:space="preserve"> </w:t>
      </w:r>
      <w:r w:rsidR="004C6082">
        <w:rPr>
          <w:sz w:val="22"/>
          <w:szCs w:val="22"/>
        </w:rPr>
        <w:t xml:space="preserve">on </w:t>
      </w:r>
      <w:r w:rsidR="00752F14">
        <w:rPr>
          <w:sz w:val="22"/>
          <w:szCs w:val="22"/>
        </w:rPr>
        <w:t>Lundquist</w:t>
      </w:r>
      <w:r w:rsidR="004C6082">
        <w:rPr>
          <w:sz w:val="22"/>
          <w:szCs w:val="22"/>
        </w:rPr>
        <w:t xml:space="preserve"> courses </w:t>
      </w:r>
      <w:r w:rsidR="004C6082" w:rsidRPr="0065313E">
        <w:rPr>
          <w:sz w:val="22"/>
          <w:szCs w:val="22"/>
        </w:rPr>
        <w:t xml:space="preserve">will </w:t>
      </w:r>
      <w:r w:rsidR="004C6082">
        <w:rPr>
          <w:sz w:val="22"/>
          <w:szCs w:val="22"/>
        </w:rPr>
        <w:t xml:space="preserve">continue to see us at a relatively low rate vis-à-vis relevant </w:t>
      </w:r>
      <w:r w:rsidR="004C6082" w:rsidRPr="0065313E">
        <w:rPr>
          <w:sz w:val="22"/>
          <w:szCs w:val="22"/>
        </w:rPr>
        <w:t>comparator</w:t>
      </w:r>
      <w:r w:rsidR="004C6082">
        <w:rPr>
          <w:sz w:val="22"/>
          <w:szCs w:val="22"/>
        </w:rPr>
        <w:t xml:space="preserve"> institutions</w:t>
      </w:r>
      <w:r w:rsidR="004C6082" w:rsidRPr="0065313E">
        <w:rPr>
          <w:sz w:val="22"/>
          <w:szCs w:val="22"/>
        </w:rPr>
        <w:t>.</w:t>
      </w:r>
    </w:p>
    <w:p w14:paraId="1B2471AE" w14:textId="77777777" w:rsidR="003E3720" w:rsidRDefault="003E3720" w:rsidP="004C6082">
      <w:pPr>
        <w:rPr>
          <w:sz w:val="22"/>
          <w:szCs w:val="22"/>
        </w:rPr>
      </w:pPr>
    </w:p>
    <w:p w14:paraId="03451B63" w14:textId="1318D547" w:rsidR="00443B49" w:rsidRDefault="004C6082" w:rsidP="004C6082">
      <w:pPr>
        <w:rPr>
          <w:sz w:val="22"/>
          <w:szCs w:val="22"/>
        </w:rPr>
      </w:pPr>
      <w:r>
        <w:rPr>
          <w:sz w:val="22"/>
          <w:szCs w:val="22"/>
        </w:rPr>
        <w:t xml:space="preserve">In making comparisons, it is important to understand that there are </w:t>
      </w:r>
      <w:r w:rsidR="00360917">
        <w:rPr>
          <w:sz w:val="22"/>
          <w:szCs w:val="22"/>
        </w:rPr>
        <w:t xml:space="preserve">various </w:t>
      </w:r>
      <w:r>
        <w:rPr>
          <w:sz w:val="22"/>
          <w:szCs w:val="22"/>
        </w:rPr>
        <w:t xml:space="preserve">ways that differential tuition </w:t>
      </w:r>
      <w:r w:rsidR="00360917">
        <w:rPr>
          <w:sz w:val="22"/>
          <w:szCs w:val="22"/>
        </w:rPr>
        <w:t>is</w:t>
      </w:r>
      <w:r>
        <w:rPr>
          <w:sz w:val="22"/>
          <w:szCs w:val="22"/>
        </w:rPr>
        <w:t xml:space="preserve"> applied</w:t>
      </w:r>
      <w:r w:rsidR="00F91155">
        <w:rPr>
          <w:sz w:val="22"/>
          <w:szCs w:val="22"/>
        </w:rPr>
        <w:t xml:space="preserve">. </w:t>
      </w:r>
      <w:r>
        <w:rPr>
          <w:sz w:val="22"/>
          <w:szCs w:val="22"/>
        </w:rPr>
        <w:t xml:space="preserve">While some schools apply a differential rate to credit hours for business courses, </w:t>
      </w:r>
      <w:r w:rsidR="00CA08AF">
        <w:rPr>
          <w:sz w:val="22"/>
          <w:szCs w:val="22"/>
        </w:rPr>
        <w:t xml:space="preserve">as we do, </w:t>
      </w:r>
      <w:r>
        <w:rPr>
          <w:sz w:val="22"/>
          <w:szCs w:val="22"/>
        </w:rPr>
        <w:t xml:space="preserve">many other schools simply apply </w:t>
      </w:r>
      <w:r w:rsidR="00CA08AF">
        <w:rPr>
          <w:sz w:val="22"/>
          <w:szCs w:val="22"/>
        </w:rPr>
        <w:t>a differential charge each term to students who are declared business majors</w:t>
      </w:r>
      <w:r w:rsidR="00360917">
        <w:rPr>
          <w:sz w:val="22"/>
          <w:szCs w:val="22"/>
        </w:rPr>
        <w:t>, effectively making all classes taken subject to a higher tuition rate</w:t>
      </w:r>
      <w:r w:rsidR="00CA08AF">
        <w:rPr>
          <w:sz w:val="22"/>
          <w:szCs w:val="22"/>
        </w:rPr>
        <w:t>.</w:t>
      </w:r>
      <w:r w:rsidR="00F1226D">
        <w:rPr>
          <w:sz w:val="22"/>
          <w:szCs w:val="22"/>
        </w:rPr>
        <w:t xml:space="preserve"> </w:t>
      </w:r>
      <w:r w:rsidR="00360917">
        <w:rPr>
          <w:sz w:val="22"/>
          <w:szCs w:val="22"/>
        </w:rPr>
        <w:t>S</w:t>
      </w:r>
      <w:r w:rsidR="00F1226D">
        <w:rPr>
          <w:sz w:val="22"/>
          <w:szCs w:val="22"/>
        </w:rPr>
        <w:t xml:space="preserve">chools </w:t>
      </w:r>
      <w:r w:rsidR="00360917">
        <w:rPr>
          <w:sz w:val="22"/>
          <w:szCs w:val="22"/>
        </w:rPr>
        <w:t xml:space="preserve">also </w:t>
      </w:r>
      <w:r w:rsidR="00F1226D">
        <w:rPr>
          <w:sz w:val="22"/>
          <w:szCs w:val="22"/>
        </w:rPr>
        <w:t>differ in when a student becomes a major. For some, students must be admitted as a major as they enter college, whe</w:t>
      </w:r>
      <w:r w:rsidR="00443B49">
        <w:rPr>
          <w:sz w:val="22"/>
          <w:szCs w:val="22"/>
        </w:rPr>
        <w:t xml:space="preserve">reas others have a pre-major before students get admitted after year one or year two. </w:t>
      </w:r>
    </w:p>
    <w:p w14:paraId="3B72871A" w14:textId="77777777" w:rsidR="003E3720" w:rsidRDefault="003E3720" w:rsidP="004C6082">
      <w:pPr>
        <w:rPr>
          <w:sz w:val="22"/>
          <w:szCs w:val="22"/>
        </w:rPr>
      </w:pPr>
    </w:p>
    <w:p w14:paraId="27A45DBB" w14:textId="0B73E42D" w:rsidR="004C6082" w:rsidRDefault="00443B49" w:rsidP="004C6082">
      <w:pPr>
        <w:rPr>
          <w:sz w:val="22"/>
          <w:szCs w:val="22"/>
        </w:rPr>
      </w:pPr>
      <w:r>
        <w:rPr>
          <w:sz w:val="22"/>
          <w:szCs w:val="22"/>
        </w:rPr>
        <w:t>In order to make comparisons, we calculate the total cost of completing a</w:t>
      </w:r>
      <w:r w:rsidR="00360917">
        <w:rPr>
          <w:sz w:val="22"/>
          <w:szCs w:val="22"/>
        </w:rPr>
        <w:t>n undergraduate</w:t>
      </w:r>
      <w:r>
        <w:rPr>
          <w:sz w:val="22"/>
          <w:szCs w:val="22"/>
        </w:rPr>
        <w:t xml:space="preserve"> business major relative to the cost of a</w:t>
      </w:r>
      <w:r w:rsidR="00360917">
        <w:rPr>
          <w:sz w:val="22"/>
          <w:szCs w:val="22"/>
        </w:rPr>
        <w:t>n undergraduate</w:t>
      </w:r>
      <w:r>
        <w:rPr>
          <w:sz w:val="22"/>
          <w:szCs w:val="22"/>
        </w:rPr>
        <w:t xml:space="preserve"> major from the university’s </w:t>
      </w:r>
      <w:r w:rsidR="000E50EB">
        <w:rPr>
          <w:sz w:val="22"/>
          <w:szCs w:val="22"/>
        </w:rPr>
        <w:t>C</w:t>
      </w:r>
      <w:r>
        <w:rPr>
          <w:sz w:val="22"/>
          <w:szCs w:val="22"/>
        </w:rPr>
        <w:t xml:space="preserve">ollege of </w:t>
      </w:r>
      <w:r w:rsidR="000E50EB">
        <w:rPr>
          <w:sz w:val="22"/>
          <w:szCs w:val="22"/>
        </w:rPr>
        <w:t>A</w:t>
      </w:r>
      <w:r>
        <w:rPr>
          <w:sz w:val="22"/>
          <w:szCs w:val="22"/>
        </w:rPr>
        <w:t xml:space="preserve">rts and </w:t>
      </w:r>
      <w:r w:rsidR="000E50EB">
        <w:rPr>
          <w:sz w:val="22"/>
          <w:szCs w:val="22"/>
        </w:rPr>
        <w:t>S</w:t>
      </w:r>
      <w:r>
        <w:rPr>
          <w:sz w:val="22"/>
          <w:szCs w:val="22"/>
        </w:rPr>
        <w:t xml:space="preserve">ciences. (Our research showed that the </w:t>
      </w:r>
      <w:r w:rsidR="000E50EB">
        <w:rPr>
          <w:sz w:val="22"/>
          <w:szCs w:val="22"/>
        </w:rPr>
        <w:t>C</w:t>
      </w:r>
      <w:r>
        <w:rPr>
          <w:sz w:val="22"/>
          <w:szCs w:val="22"/>
        </w:rPr>
        <w:t xml:space="preserve">ollege of </w:t>
      </w:r>
      <w:r w:rsidR="000E50EB">
        <w:rPr>
          <w:sz w:val="22"/>
          <w:szCs w:val="22"/>
        </w:rPr>
        <w:t>A</w:t>
      </w:r>
      <w:r>
        <w:rPr>
          <w:sz w:val="22"/>
          <w:szCs w:val="22"/>
        </w:rPr>
        <w:t xml:space="preserve">rts and </w:t>
      </w:r>
      <w:r w:rsidR="000E50EB">
        <w:rPr>
          <w:sz w:val="22"/>
          <w:szCs w:val="22"/>
        </w:rPr>
        <w:t>S</w:t>
      </w:r>
      <w:r>
        <w:rPr>
          <w:sz w:val="22"/>
          <w:szCs w:val="22"/>
        </w:rPr>
        <w:t>cience majors are always at the base tuition level for the university; i.e., no differential tuition). For our UO context, the proposed $50 differential tuition per credit hour for business courses means that it would cost a UO business major $4</w:t>
      </w:r>
      <w:r w:rsidR="00360917">
        <w:rPr>
          <w:sz w:val="22"/>
          <w:szCs w:val="22"/>
        </w:rPr>
        <w:t>,</w:t>
      </w:r>
      <w:r>
        <w:rPr>
          <w:sz w:val="22"/>
          <w:szCs w:val="22"/>
        </w:rPr>
        <w:t xml:space="preserve">400 more for their degree than a major from the </w:t>
      </w:r>
      <w:r w:rsidR="00360917">
        <w:rPr>
          <w:sz w:val="22"/>
          <w:szCs w:val="22"/>
        </w:rPr>
        <w:t xml:space="preserve">College </w:t>
      </w:r>
      <w:r>
        <w:rPr>
          <w:sz w:val="22"/>
          <w:szCs w:val="22"/>
        </w:rPr>
        <w:t xml:space="preserve">of </w:t>
      </w:r>
      <w:r w:rsidR="00360917">
        <w:rPr>
          <w:sz w:val="22"/>
          <w:szCs w:val="22"/>
        </w:rPr>
        <w:t xml:space="preserve">Arts </w:t>
      </w:r>
      <w:r>
        <w:rPr>
          <w:sz w:val="22"/>
          <w:szCs w:val="22"/>
        </w:rPr>
        <w:t xml:space="preserve">and </w:t>
      </w:r>
      <w:r w:rsidR="00360917">
        <w:rPr>
          <w:sz w:val="22"/>
          <w:szCs w:val="22"/>
        </w:rPr>
        <w:t>Sciences</w:t>
      </w:r>
      <w:r>
        <w:rPr>
          <w:sz w:val="22"/>
          <w:szCs w:val="22"/>
        </w:rPr>
        <w:t xml:space="preserve">. This is because the UO business major requires </w:t>
      </w:r>
      <w:r w:rsidR="00347C66">
        <w:rPr>
          <w:sz w:val="22"/>
          <w:szCs w:val="22"/>
        </w:rPr>
        <w:t>twenty-two</w:t>
      </w:r>
      <w:r>
        <w:rPr>
          <w:sz w:val="22"/>
          <w:szCs w:val="22"/>
        </w:rPr>
        <w:t xml:space="preserve"> four-credit courses from LCB</w:t>
      </w:r>
      <w:r w:rsidR="000E50EB">
        <w:rPr>
          <w:sz w:val="22"/>
          <w:szCs w:val="22"/>
        </w:rPr>
        <w:t xml:space="preserve"> for completion of the degree</w:t>
      </w:r>
      <w:r>
        <w:rPr>
          <w:sz w:val="22"/>
          <w:szCs w:val="22"/>
        </w:rPr>
        <w:t>. Other courses required f</w:t>
      </w:r>
      <w:r w:rsidR="000E50EB">
        <w:rPr>
          <w:sz w:val="22"/>
          <w:szCs w:val="22"/>
        </w:rPr>
        <w:t xml:space="preserve">or the business </w:t>
      </w:r>
      <w:r>
        <w:rPr>
          <w:sz w:val="22"/>
          <w:szCs w:val="22"/>
        </w:rPr>
        <w:t>major</w:t>
      </w:r>
      <w:r w:rsidR="000E50EB">
        <w:rPr>
          <w:sz w:val="22"/>
          <w:szCs w:val="22"/>
        </w:rPr>
        <w:t>,</w:t>
      </w:r>
      <w:r>
        <w:rPr>
          <w:sz w:val="22"/>
          <w:szCs w:val="22"/>
        </w:rPr>
        <w:t xml:space="preserve"> but offered elsewhere at UO (e.g., economics, mathematics, and writing courses)</w:t>
      </w:r>
      <w:r w:rsidR="000E50EB">
        <w:rPr>
          <w:sz w:val="22"/>
          <w:szCs w:val="22"/>
        </w:rPr>
        <w:t>,</w:t>
      </w:r>
      <w:r>
        <w:rPr>
          <w:sz w:val="22"/>
          <w:szCs w:val="22"/>
        </w:rPr>
        <w:t xml:space="preserve"> would not have the differential tuition rate.</w:t>
      </w:r>
    </w:p>
    <w:p w14:paraId="054DDF49" w14:textId="77777777" w:rsidR="00752F14" w:rsidRDefault="00752F14" w:rsidP="004C6082">
      <w:pPr>
        <w:rPr>
          <w:sz w:val="22"/>
          <w:szCs w:val="22"/>
        </w:rPr>
      </w:pPr>
    </w:p>
    <w:p w14:paraId="7EF8C856" w14:textId="2C5E3BB4" w:rsidR="00752F14" w:rsidRDefault="00752F14" w:rsidP="004C6082">
      <w:pPr>
        <w:rPr>
          <w:sz w:val="22"/>
          <w:szCs w:val="22"/>
        </w:rPr>
      </w:pPr>
      <w:r>
        <w:rPr>
          <w:sz w:val="22"/>
          <w:szCs w:val="22"/>
        </w:rPr>
        <w:t xml:space="preserve">We note that our approach of charging differential tuition on Lundquist courses means that any UO student taking a Lundquist course will be assessed the differential tuition charge, including courses for the minors we offer. We think this is appropriate because it is the same higher-cost faculty who provide these courses and, as noted above, many </w:t>
      </w:r>
      <w:r w:rsidR="00360917">
        <w:rPr>
          <w:sz w:val="22"/>
          <w:szCs w:val="22"/>
        </w:rPr>
        <w:t xml:space="preserve">of </w:t>
      </w:r>
      <w:r>
        <w:rPr>
          <w:sz w:val="22"/>
          <w:szCs w:val="22"/>
        </w:rPr>
        <w:t>our student services are accessible for all UO students, including tutoring services, student clubs, the Professional Edge program</w:t>
      </w:r>
      <w:r w:rsidR="00360917">
        <w:rPr>
          <w:sz w:val="22"/>
          <w:szCs w:val="22"/>
        </w:rPr>
        <w:t>,</w:t>
      </w:r>
      <w:r>
        <w:rPr>
          <w:sz w:val="22"/>
          <w:szCs w:val="22"/>
        </w:rPr>
        <w:t xml:space="preserve"> and some of our career readiness services.</w:t>
      </w:r>
    </w:p>
    <w:p w14:paraId="0B3F8496" w14:textId="77777777" w:rsidR="003E3720" w:rsidRDefault="003E3720" w:rsidP="004C6082">
      <w:pPr>
        <w:rPr>
          <w:b/>
          <w:bCs/>
          <w:i/>
          <w:iCs/>
          <w:sz w:val="22"/>
          <w:szCs w:val="22"/>
        </w:rPr>
      </w:pPr>
    </w:p>
    <w:p w14:paraId="22650F56" w14:textId="14E75F4B" w:rsidR="000E50EB" w:rsidRDefault="000E50EB" w:rsidP="004C6082">
      <w:pPr>
        <w:rPr>
          <w:sz w:val="22"/>
          <w:szCs w:val="22"/>
        </w:rPr>
      </w:pPr>
      <w:r w:rsidRPr="00752F14">
        <w:rPr>
          <w:b/>
          <w:bCs/>
          <w:i/>
          <w:iCs/>
          <w:sz w:val="22"/>
          <w:szCs w:val="22"/>
        </w:rPr>
        <w:t>State of Oregon Comparators</w:t>
      </w:r>
    </w:p>
    <w:p w14:paraId="4C04B884" w14:textId="25040643" w:rsidR="00687C64" w:rsidRPr="000E50EB" w:rsidRDefault="000E50EB" w:rsidP="004C6082">
      <w:pPr>
        <w:rPr>
          <w:sz w:val="22"/>
          <w:szCs w:val="22"/>
        </w:rPr>
      </w:pPr>
      <w:r>
        <w:rPr>
          <w:sz w:val="22"/>
          <w:szCs w:val="22"/>
        </w:rPr>
        <w:t xml:space="preserve">One set of relevant comparators </w:t>
      </w:r>
      <w:r w:rsidR="00360917">
        <w:rPr>
          <w:sz w:val="22"/>
          <w:szCs w:val="22"/>
        </w:rPr>
        <w:t xml:space="preserve">is </w:t>
      </w:r>
      <w:r>
        <w:rPr>
          <w:sz w:val="22"/>
          <w:szCs w:val="22"/>
        </w:rPr>
        <w:t xml:space="preserve">the other two major universities in the state, Oregon State and Portland State. </w:t>
      </w:r>
      <w:r w:rsidR="00752F14">
        <w:rPr>
          <w:sz w:val="22"/>
          <w:szCs w:val="22"/>
        </w:rPr>
        <w:t>B</w:t>
      </w:r>
      <w:r>
        <w:rPr>
          <w:sz w:val="22"/>
          <w:szCs w:val="22"/>
        </w:rPr>
        <w:t xml:space="preserve">oth of these institutions have differential tuition for a business major. </w:t>
      </w:r>
      <w:r w:rsidR="007A6155">
        <w:rPr>
          <w:sz w:val="22"/>
          <w:szCs w:val="22"/>
        </w:rPr>
        <w:t xml:space="preserve">Unlike UO, they both charge differential tuition for each term a student is a business major. It is common that students </w:t>
      </w:r>
      <w:r w:rsidR="0079424F">
        <w:rPr>
          <w:sz w:val="22"/>
          <w:szCs w:val="22"/>
        </w:rPr>
        <w:t>are</w:t>
      </w:r>
      <w:r w:rsidR="007A6155">
        <w:rPr>
          <w:sz w:val="22"/>
          <w:szCs w:val="22"/>
        </w:rPr>
        <w:t xml:space="preserve"> admitted directly into the business school when they enter the university</w:t>
      </w:r>
      <w:r w:rsidR="00752F14">
        <w:rPr>
          <w:sz w:val="22"/>
          <w:szCs w:val="22"/>
        </w:rPr>
        <w:t xml:space="preserve"> at both OSU and PSU</w:t>
      </w:r>
      <w:r w:rsidR="007A6155">
        <w:rPr>
          <w:sz w:val="22"/>
          <w:szCs w:val="22"/>
        </w:rPr>
        <w:t xml:space="preserve">, so that this additional per term charge is assessed the entire time a student is enrolled at the institution. Given this, we assume that the student is assessed differential tuition for four years (or twelve terms). Table 1 provides the total additional cost of a business major at the three major Oregon universities given these assumptions. As one can see, the additional cost for a business major with our proposal would be a bit higher than Portland State but lower than at Oregon State. </w:t>
      </w:r>
    </w:p>
    <w:tbl>
      <w:tblPr>
        <w:tblW w:w="9530" w:type="dxa"/>
        <w:tblLook w:val="04A0" w:firstRow="1" w:lastRow="0" w:firstColumn="1" w:lastColumn="0" w:noHBand="0" w:noVBand="1"/>
      </w:tblPr>
      <w:tblGrid>
        <w:gridCol w:w="2780"/>
        <w:gridCol w:w="2250"/>
        <w:gridCol w:w="1710"/>
        <w:gridCol w:w="1890"/>
        <w:gridCol w:w="1035"/>
      </w:tblGrid>
      <w:tr w:rsidR="007A6155" w:rsidRPr="007A6155" w14:paraId="24FFC28C" w14:textId="77777777" w:rsidTr="00DB0E4C">
        <w:trPr>
          <w:trHeight w:val="765"/>
        </w:trPr>
        <w:tc>
          <w:tcPr>
            <w:tcW w:w="9530" w:type="dxa"/>
            <w:gridSpan w:val="5"/>
            <w:tcBorders>
              <w:top w:val="nil"/>
              <w:bottom w:val="single" w:sz="4" w:space="0" w:color="auto"/>
              <w:right w:val="nil"/>
            </w:tcBorders>
            <w:vAlign w:val="center"/>
            <w:hideMark/>
          </w:tcPr>
          <w:p w14:paraId="6FE450E1" w14:textId="77777777" w:rsidR="007A6155" w:rsidRPr="00DB0E4C" w:rsidRDefault="007A6155" w:rsidP="007A6155">
            <w:pPr>
              <w:jc w:val="center"/>
              <w:rPr>
                <w:b/>
                <w:bCs/>
                <w:color w:val="000000"/>
              </w:rPr>
            </w:pPr>
            <w:r w:rsidRPr="00DB0E4C">
              <w:rPr>
                <w:b/>
                <w:bCs/>
                <w:color w:val="000000"/>
              </w:rPr>
              <w:t xml:space="preserve">Table 1: Differential Tuition Comparators in State of Oregon                                                                                     </w:t>
            </w:r>
          </w:p>
        </w:tc>
      </w:tr>
      <w:tr w:rsidR="007A6155" w:rsidRPr="007A6155" w14:paraId="73485616" w14:textId="77777777" w:rsidTr="00DB0E4C">
        <w:trPr>
          <w:trHeight w:val="800"/>
        </w:trPr>
        <w:tc>
          <w:tcPr>
            <w:tcW w:w="2780" w:type="dxa"/>
            <w:tcBorders>
              <w:top w:val="single" w:sz="4" w:space="0" w:color="auto"/>
              <w:left w:val="nil"/>
              <w:bottom w:val="nil"/>
              <w:right w:val="nil"/>
            </w:tcBorders>
            <w:vAlign w:val="center"/>
            <w:hideMark/>
          </w:tcPr>
          <w:p w14:paraId="02D7439D" w14:textId="77777777" w:rsidR="007A6155" w:rsidRPr="007A6155" w:rsidRDefault="007A6155" w:rsidP="007A6155">
            <w:pPr>
              <w:jc w:val="center"/>
              <w:rPr>
                <w:rFonts w:ascii="Aptos Narrow" w:hAnsi="Aptos Narrow"/>
                <w:b/>
                <w:bCs/>
                <w:color w:val="000000"/>
                <w:sz w:val="28"/>
                <w:szCs w:val="28"/>
              </w:rPr>
            </w:pPr>
            <w:r w:rsidRPr="007A6155">
              <w:rPr>
                <w:rFonts w:ascii="Aptos Narrow" w:hAnsi="Aptos Narrow"/>
                <w:b/>
                <w:bCs/>
                <w:color w:val="000000"/>
                <w:sz w:val="28"/>
                <w:szCs w:val="28"/>
              </w:rPr>
              <w:t> </w:t>
            </w:r>
          </w:p>
        </w:tc>
        <w:tc>
          <w:tcPr>
            <w:tcW w:w="3960" w:type="dxa"/>
            <w:gridSpan w:val="2"/>
            <w:tcBorders>
              <w:top w:val="single" w:sz="4" w:space="0" w:color="auto"/>
              <w:left w:val="nil"/>
              <w:bottom w:val="single" w:sz="4" w:space="0" w:color="auto"/>
              <w:right w:val="nil"/>
            </w:tcBorders>
            <w:vAlign w:val="center"/>
            <w:hideMark/>
          </w:tcPr>
          <w:p w14:paraId="17498DD8" w14:textId="0A773B18" w:rsidR="007A6155" w:rsidRPr="00752F14" w:rsidRDefault="007A6155" w:rsidP="007A6155">
            <w:pPr>
              <w:jc w:val="center"/>
              <w:rPr>
                <w:b/>
                <w:bCs/>
                <w:color w:val="000000"/>
                <w:sz w:val="22"/>
                <w:szCs w:val="22"/>
              </w:rPr>
            </w:pPr>
            <w:r w:rsidRPr="00752F14">
              <w:rPr>
                <w:b/>
                <w:bCs/>
                <w:color w:val="000000"/>
                <w:sz w:val="22"/>
                <w:szCs w:val="22"/>
              </w:rPr>
              <w:t xml:space="preserve">Differential Tuition Costs for   </w:t>
            </w:r>
            <w:r w:rsidR="003E3720">
              <w:rPr>
                <w:b/>
                <w:bCs/>
                <w:color w:val="000000"/>
                <w:sz w:val="22"/>
                <w:szCs w:val="22"/>
              </w:rPr>
              <w:t xml:space="preserve">       </w:t>
            </w:r>
            <w:r w:rsidRPr="00752F14">
              <w:rPr>
                <w:b/>
                <w:bCs/>
                <w:color w:val="000000"/>
                <w:sz w:val="22"/>
                <w:szCs w:val="22"/>
              </w:rPr>
              <w:t xml:space="preserve">    Business Major</w:t>
            </w:r>
            <w:r w:rsidRPr="00752F14">
              <w:rPr>
                <w:b/>
                <w:bCs/>
                <w:color w:val="000000"/>
                <w:sz w:val="22"/>
                <w:szCs w:val="22"/>
                <w:vertAlign w:val="superscript"/>
              </w:rPr>
              <w:t>1</w:t>
            </w:r>
          </w:p>
        </w:tc>
        <w:tc>
          <w:tcPr>
            <w:tcW w:w="2790" w:type="dxa"/>
            <w:gridSpan w:val="2"/>
            <w:tcBorders>
              <w:top w:val="single" w:sz="4" w:space="0" w:color="auto"/>
              <w:left w:val="nil"/>
              <w:bottom w:val="single" w:sz="4" w:space="0" w:color="auto"/>
              <w:right w:val="nil"/>
            </w:tcBorders>
            <w:vAlign w:val="center"/>
            <w:hideMark/>
          </w:tcPr>
          <w:p w14:paraId="7BD34699" w14:textId="77777777" w:rsidR="007A6155" w:rsidRPr="00752F14" w:rsidRDefault="007A6155" w:rsidP="007A6155">
            <w:pPr>
              <w:jc w:val="center"/>
              <w:rPr>
                <w:b/>
                <w:bCs/>
                <w:color w:val="000000"/>
                <w:sz w:val="22"/>
                <w:szCs w:val="22"/>
              </w:rPr>
            </w:pPr>
            <w:r w:rsidRPr="00752F14">
              <w:rPr>
                <w:b/>
                <w:bCs/>
                <w:color w:val="000000"/>
                <w:sz w:val="22"/>
                <w:szCs w:val="22"/>
              </w:rPr>
              <w:t>Total Additional Costs for Business Major</w:t>
            </w:r>
            <w:r w:rsidRPr="00752F14">
              <w:rPr>
                <w:b/>
                <w:bCs/>
                <w:color w:val="000000"/>
                <w:sz w:val="22"/>
                <w:szCs w:val="22"/>
                <w:vertAlign w:val="superscript"/>
              </w:rPr>
              <w:t>1</w:t>
            </w:r>
          </w:p>
        </w:tc>
      </w:tr>
      <w:tr w:rsidR="007A6155" w:rsidRPr="007A6155" w14:paraId="58C25D69" w14:textId="77777777" w:rsidTr="007D0FCB">
        <w:trPr>
          <w:trHeight w:val="540"/>
        </w:trPr>
        <w:tc>
          <w:tcPr>
            <w:tcW w:w="2780" w:type="dxa"/>
            <w:tcBorders>
              <w:top w:val="nil"/>
              <w:left w:val="nil"/>
              <w:bottom w:val="double" w:sz="6" w:space="0" w:color="auto"/>
              <w:right w:val="nil"/>
            </w:tcBorders>
            <w:noWrap/>
            <w:vAlign w:val="bottom"/>
            <w:hideMark/>
          </w:tcPr>
          <w:p w14:paraId="391B8999" w14:textId="77777777" w:rsidR="007A6155" w:rsidRPr="007A6155" w:rsidRDefault="007A6155" w:rsidP="007A6155">
            <w:pPr>
              <w:rPr>
                <w:rFonts w:ascii="Aptos Narrow" w:hAnsi="Aptos Narrow"/>
                <w:color w:val="000000"/>
              </w:rPr>
            </w:pPr>
            <w:r w:rsidRPr="007A6155">
              <w:rPr>
                <w:rFonts w:ascii="Aptos Narrow" w:hAnsi="Aptos Narrow"/>
                <w:color w:val="000000"/>
              </w:rPr>
              <w:t> </w:t>
            </w:r>
          </w:p>
        </w:tc>
        <w:tc>
          <w:tcPr>
            <w:tcW w:w="2250" w:type="dxa"/>
            <w:tcBorders>
              <w:top w:val="nil"/>
              <w:left w:val="nil"/>
              <w:bottom w:val="double" w:sz="6" w:space="0" w:color="auto"/>
              <w:right w:val="nil"/>
            </w:tcBorders>
            <w:noWrap/>
            <w:vAlign w:val="center"/>
            <w:hideMark/>
          </w:tcPr>
          <w:p w14:paraId="707A72F1" w14:textId="77777777" w:rsidR="007A6155" w:rsidRPr="00752F14" w:rsidRDefault="007A6155" w:rsidP="007A6155">
            <w:pPr>
              <w:jc w:val="center"/>
              <w:rPr>
                <w:b/>
                <w:bCs/>
                <w:color w:val="000000"/>
                <w:sz w:val="22"/>
                <w:szCs w:val="22"/>
              </w:rPr>
            </w:pPr>
            <w:r w:rsidRPr="00752F14">
              <w:rPr>
                <w:b/>
                <w:bCs/>
                <w:color w:val="000000"/>
                <w:sz w:val="22"/>
                <w:szCs w:val="22"/>
              </w:rPr>
              <w:t>Resident</w:t>
            </w:r>
          </w:p>
        </w:tc>
        <w:tc>
          <w:tcPr>
            <w:tcW w:w="1710" w:type="dxa"/>
            <w:tcBorders>
              <w:top w:val="nil"/>
              <w:left w:val="nil"/>
              <w:bottom w:val="double" w:sz="6" w:space="0" w:color="auto"/>
              <w:right w:val="nil"/>
            </w:tcBorders>
            <w:noWrap/>
            <w:vAlign w:val="center"/>
            <w:hideMark/>
          </w:tcPr>
          <w:p w14:paraId="249888E1" w14:textId="77777777" w:rsidR="007A6155" w:rsidRPr="00752F14" w:rsidRDefault="007A6155" w:rsidP="007A6155">
            <w:pPr>
              <w:jc w:val="center"/>
              <w:rPr>
                <w:b/>
                <w:bCs/>
                <w:color w:val="000000"/>
                <w:sz w:val="22"/>
                <w:szCs w:val="22"/>
              </w:rPr>
            </w:pPr>
            <w:r w:rsidRPr="00752F14">
              <w:rPr>
                <w:b/>
                <w:bCs/>
                <w:color w:val="000000"/>
                <w:sz w:val="22"/>
                <w:szCs w:val="22"/>
              </w:rPr>
              <w:t>Non-Resident</w:t>
            </w:r>
          </w:p>
        </w:tc>
        <w:tc>
          <w:tcPr>
            <w:tcW w:w="1890" w:type="dxa"/>
            <w:tcBorders>
              <w:top w:val="nil"/>
              <w:left w:val="nil"/>
              <w:bottom w:val="double" w:sz="6" w:space="0" w:color="auto"/>
              <w:right w:val="nil"/>
            </w:tcBorders>
            <w:noWrap/>
            <w:vAlign w:val="center"/>
            <w:hideMark/>
          </w:tcPr>
          <w:p w14:paraId="0AC7E6D9" w14:textId="77777777" w:rsidR="007A6155" w:rsidRPr="00752F14" w:rsidRDefault="007A6155" w:rsidP="007A6155">
            <w:pPr>
              <w:jc w:val="center"/>
              <w:rPr>
                <w:b/>
                <w:bCs/>
                <w:color w:val="000000"/>
                <w:sz w:val="22"/>
                <w:szCs w:val="22"/>
              </w:rPr>
            </w:pPr>
            <w:r w:rsidRPr="00752F14">
              <w:rPr>
                <w:b/>
                <w:bCs/>
                <w:color w:val="000000"/>
                <w:sz w:val="22"/>
                <w:szCs w:val="22"/>
              </w:rPr>
              <w:t>Resident</w:t>
            </w:r>
          </w:p>
        </w:tc>
        <w:tc>
          <w:tcPr>
            <w:tcW w:w="900" w:type="dxa"/>
            <w:tcBorders>
              <w:top w:val="nil"/>
              <w:left w:val="nil"/>
              <w:bottom w:val="double" w:sz="6" w:space="0" w:color="auto"/>
              <w:right w:val="nil"/>
            </w:tcBorders>
            <w:noWrap/>
            <w:vAlign w:val="center"/>
            <w:hideMark/>
          </w:tcPr>
          <w:p w14:paraId="31EFD4C5" w14:textId="77777777" w:rsidR="007A6155" w:rsidRPr="00752F14" w:rsidRDefault="007A6155" w:rsidP="007A6155">
            <w:pPr>
              <w:jc w:val="center"/>
              <w:rPr>
                <w:b/>
                <w:bCs/>
                <w:color w:val="000000"/>
                <w:sz w:val="22"/>
                <w:szCs w:val="22"/>
              </w:rPr>
            </w:pPr>
            <w:r w:rsidRPr="00752F14">
              <w:rPr>
                <w:b/>
                <w:bCs/>
                <w:color w:val="000000"/>
                <w:sz w:val="22"/>
                <w:szCs w:val="22"/>
              </w:rPr>
              <w:t>Non-Resident</w:t>
            </w:r>
          </w:p>
        </w:tc>
      </w:tr>
      <w:tr w:rsidR="007A6155" w:rsidRPr="007A6155" w14:paraId="561F310B" w14:textId="77777777" w:rsidTr="007D0FCB">
        <w:trPr>
          <w:trHeight w:val="540"/>
        </w:trPr>
        <w:tc>
          <w:tcPr>
            <w:tcW w:w="2780" w:type="dxa"/>
            <w:tcBorders>
              <w:top w:val="nil"/>
              <w:left w:val="nil"/>
              <w:bottom w:val="nil"/>
              <w:right w:val="nil"/>
            </w:tcBorders>
            <w:vAlign w:val="center"/>
            <w:hideMark/>
          </w:tcPr>
          <w:p w14:paraId="338668CD" w14:textId="77777777" w:rsidR="007A6155" w:rsidRPr="007D0FCB" w:rsidRDefault="007A6155" w:rsidP="007A6155">
            <w:pPr>
              <w:rPr>
                <w:b/>
                <w:bCs/>
                <w:color w:val="000000"/>
                <w:sz w:val="22"/>
                <w:szCs w:val="22"/>
              </w:rPr>
            </w:pPr>
            <w:r w:rsidRPr="007D0FCB">
              <w:rPr>
                <w:b/>
                <w:bCs/>
                <w:color w:val="000000"/>
                <w:sz w:val="22"/>
                <w:szCs w:val="22"/>
              </w:rPr>
              <w:t>Oregon State University</w:t>
            </w:r>
          </w:p>
        </w:tc>
        <w:tc>
          <w:tcPr>
            <w:tcW w:w="2250" w:type="dxa"/>
            <w:tcBorders>
              <w:top w:val="nil"/>
              <w:left w:val="nil"/>
              <w:bottom w:val="nil"/>
              <w:right w:val="nil"/>
            </w:tcBorders>
            <w:vAlign w:val="center"/>
            <w:hideMark/>
          </w:tcPr>
          <w:p w14:paraId="466F4A47" w14:textId="77777777" w:rsidR="007A6155" w:rsidRPr="00752F14" w:rsidRDefault="007A6155" w:rsidP="007A6155">
            <w:pPr>
              <w:jc w:val="center"/>
              <w:rPr>
                <w:color w:val="000000"/>
                <w:sz w:val="22"/>
                <w:szCs w:val="22"/>
              </w:rPr>
            </w:pPr>
            <w:r w:rsidRPr="00752F14">
              <w:rPr>
                <w:color w:val="000000"/>
                <w:sz w:val="22"/>
                <w:szCs w:val="22"/>
              </w:rPr>
              <w:t>$432 per term</w:t>
            </w:r>
          </w:p>
        </w:tc>
        <w:tc>
          <w:tcPr>
            <w:tcW w:w="1710" w:type="dxa"/>
            <w:tcBorders>
              <w:top w:val="nil"/>
              <w:left w:val="nil"/>
              <w:bottom w:val="nil"/>
              <w:right w:val="nil"/>
            </w:tcBorders>
            <w:vAlign w:val="center"/>
            <w:hideMark/>
          </w:tcPr>
          <w:p w14:paraId="36815C69" w14:textId="77777777" w:rsidR="007A6155" w:rsidRPr="00752F14" w:rsidRDefault="007A6155" w:rsidP="007A6155">
            <w:pPr>
              <w:jc w:val="center"/>
              <w:rPr>
                <w:color w:val="000000"/>
                <w:sz w:val="22"/>
                <w:szCs w:val="22"/>
              </w:rPr>
            </w:pPr>
            <w:r w:rsidRPr="00752F14">
              <w:rPr>
                <w:color w:val="000000"/>
                <w:sz w:val="22"/>
                <w:szCs w:val="22"/>
              </w:rPr>
              <w:t>$432 per term</w:t>
            </w:r>
          </w:p>
        </w:tc>
        <w:tc>
          <w:tcPr>
            <w:tcW w:w="1890" w:type="dxa"/>
            <w:tcBorders>
              <w:top w:val="nil"/>
              <w:left w:val="nil"/>
              <w:bottom w:val="nil"/>
              <w:right w:val="nil"/>
            </w:tcBorders>
            <w:noWrap/>
            <w:vAlign w:val="center"/>
            <w:hideMark/>
          </w:tcPr>
          <w:p w14:paraId="1BC30116" w14:textId="77777777" w:rsidR="007A6155" w:rsidRPr="00752F14" w:rsidRDefault="007A6155" w:rsidP="007A6155">
            <w:pPr>
              <w:jc w:val="center"/>
              <w:rPr>
                <w:color w:val="000000"/>
                <w:sz w:val="22"/>
                <w:szCs w:val="22"/>
              </w:rPr>
            </w:pPr>
            <w:r w:rsidRPr="00752F14">
              <w:rPr>
                <w:color w:val="000000"/>
                <w:sz w:val="22"/>
                <w:szCs w:val="22"/>
              </w:rPr>
              <w:t xml:space="preserve">$5,184 </w:t>
            </w:r>
          </w:p>
        </w:tc>
        <w:tc>
          <w:tcPr>
            <w:tcW w:w="900" w:type="dxa"/>
            <w:tcBorders>
              <w:top w:val="nil"/>
              <w:left w:val="nil"/>
              <w:bottom w:val="nil"/>
              <w:right w:val="nil"/>
            </w:tcBorders>
            <w:noWrap/>
            <w:vAlign w:val="center"/>
            <w:hideMark/>
          </w:tcPr>
          <w:p w14:paraId="230D73C6" w14:textId="77777777" w:rsidR="007A6155" w:rsidRPr="00752F14" w:rsidRDefault="007A6155" w:rsidP="007A6155">
            <w:pPr>
              <w:jc w:val="center"/>
              <w:rPr>
                <w:color w:val="000000"/>
                <w:sz w:val="22"/>
                <w:szCs w:val="22"/>
              </w:rPr>
            </w:pPr>
            <w:r w:rsidRPr="00752F14">
              <w:rPr>
                <w:color w:val="000000"/>
                <w:sz w:val="22"/>
                <w:szCs w:val="22"/>
              </w:rPr>
              <w:t xml:space="preserve">$5,184 </w:t>
            </w:r>
          </w:p>
        </w:tc>
      </w:tr>
      <w:tr w:rsidR="007A6155" w:rsidRPr="007A6155" w14:paraId="7D9CDE55" w14:textId="77777777" w:rsidTr="007D0FCB">
        <w:trPr>
          <w:trHeight w:val="480"/>
        </w:trPr>
        <w:tc>
          <w:tcPr>
            <w:tcW w:w="2780" w:type="dxa"/>
            <w:tcBorders>
              <w:top w:val="nil"/>
              <w:left w:val="nil"/>
              <w:bottom w:val="nil"/>
              <w:right w:val="nil"/>
            </w:tcBorders>
            <w:vAlign w:val="center"/>
            <w:hideMark/>
          </w:tcPr>
          <w:p w14:paraId="05A96318" w14:textId="77777777" w:rsidR="007A6155" w:rsidRPr="007D0FCB" w:rsidRDefault="007A6155" w:rsidP="007A6155">
            <w:pPr>
              <w:rPr>
                <w:b/>
                <w:bCs/>
                <w:color w:val="000000"/>
                <w:sz w:val="22"/>
                <w:szCs w:val="22"/>
              </w:rPr>
            </w:pPr>
            <w:r w:rsidRPr="007D0FCB">
              <w:rPr>
                <w:b/>
                <w:bCs/>
                <w:color w:val="000000"/>
                <w:sz w:val="22"/>
                <w:szCs w:val="22"/>
              </w:rPr>
              <w:t>Portland State University</w:t>
            </w:r>
          </w:p>
        </w:tc>
        <w:tc>
          <w:tcPr>
            <w:tcW w:w="2250" w:type="dxa"/>
            <w:tcBorders>
              <w:top w:val="nil"/>
              <w:left w:val="nil"/>
              <w:bottom w:val="nil"/>
              <w:right w:val="nil"/>
            </w:tcBorders>
            <w:vAlign w:val="center"/>
            <w:hideMark/>
          </w:tcPr>
          <w:p w14:paraId="4E4B3901" w14:textId="77777777" w:rsidR="007A6155" w:rsidRPr="00752F14" w:rsidRDefault="007A6155" w:rsidP="007A6155">
            <w:pPr>
              <w:jc w:val="center"/>
              <w:rPr>
                <w:color w:val="000000"/>
                <w:sz w:val="22"/>
                <w:szCs w:val="22"/>
              </w:rPr>
            </w:pPr>
            <w:r w:rsidRPr="00752F14">
              <w:rPr>
                <w:color w:val="000000"/>
                <w:sz w:val="22"/>
                <w:szCs w:val="22"/>
              </w:rPr>
              <w:t>$294 per term</w:t>
            </w:r>
          </w:p>
        </w:tc>
        <w:tc>
          <w:tcPr>
            <w:tcW w:w="1710" w:type="dxa"/>
            <w:tcBorders>
              <w:top w:val="nil"/>
              <w:left w:val="nil"/>
              <w:bottom w:val="nil"/>
              <w:right w:val="nil"/>
            </w:tcBorders>
            <w:vAlign w:val="center"/>
            <w:hideMark/>
          </w:tcPr>
          <w:p w14:paraId="36D6B86D" w14:textId="77777777" w:rsidR="007A6155" w:rsidRPr="00752F14" w:rsidRDefault="007A6155" w:rsidP="007A6155">
            <w:pPr>
              <w:jc w:val="center"/>
              <w:rPr>
                <w:color w:val="000000"/>
                <w:sz w:val="22"/>
                <w:szCs w:val="22"/>
              </w:rPr>
            </w:pPr>
            <w:r w:rsidRPr="00752F14">
              <w:rPr>
                <w:color w:val="000000"/>
                <w:sz w:val="22"/>
                <w:szCs w:val="22"/>
              </w:rPr>
              <w:t>$304 per term</w:t>
            </w:r>
          </w:p>
        </w:tc>
        <w:tc>
          <w:tcPr>
            <w:tcW w:w="1890" w:type="dxa"/>
            <w:tcBorders>
              <w:top w:val="nil"/>
              <w:left w:val="nil"/>
              <w:bottom w:val="nil"/>
              <w:right w:val="nil"/>
            </w:tcBorders>
            <w:noWrap/>
            <w:vAlign w:val="center"/>
            <w:hideMark/>
          </w:tcPr>
          <w:p w14:paraId="666DF800" w14:textId="77777777" w:rsidR="007A6155" w:rsidRPr="00752F14" w:rsidRDefault="007A6155" w:rsidP="007A6155">
            <w:pPr>
              <w:jc w:val="center"/>
              <w:rPr>
                <w:color w:val="000000"/>
                <w:sz w:val="22"/>
                <w:szCs w:val="22"/>
              </w:rPr>
            </w:pPr>
            <w:r w:rsidRPr="00752F14">
              <w:rPr>
                <w:color w:val="000000"/>
                <w:sz w:val="22"/>
                <w:szCs w:val="22"/>
              </w:rPr>
              <w:t xml:space="preserve">$3,528 </w:t>
            </w:r>
          </w:p>
        </w:tc>
        <w:tc>
          <w:tcPr>
            <w:tcW w:w="900" w:type="dxa"/>
            <w:tcBorders>
              <w:top w:val="nil"/>
              <w:left w:val="nil"/>
              <w:bottom w:val="nil"/>
              <w:right w:val="nil"/>
            </w:tcBorders>
            <w:noWrap/>
            <w:vAlign w:val="center"/>
            <w:hideMark/>
          </w:tcPr>
          <w:p w14:paraId="23D00001" w14:textId="77777777" w:rsidR="007A6155" w:rsidRPr="00752F14" w:rsidRDefault="007A6155" w:rsidP="007A6155">
            <w:pPr>
              <w:jc w:val="center"/>
              <w:rPr>
                <w:color w:val="000000"/>
                <w:sz w:val="22"/>
                <w:szCs w:val="22"/>
              </w:rPr>
            </w:pPr>
            <w:r w:rsidRPr="00752F14">
              <w:rPr>
                <w:color w:val="000000"/>
                <w:sz w:val="22"/>
                <w:szCs w:val="22"/>
              </w:rPr>
              <w:t xml:space="preserve">$3,648 </w:t>
            </w:r>
          </w:p>
        </w:tc>
      </w:tr>
      <w:tr w:rsidR="007A6155" w:rsidRPr="007A6155" w14:paraId="3AB30782" w14:textId="77777777" w:rsidTr="007D0FCB">
        <w:trPr>
          <w:trHeight w:val="700"/>
        </w:trPr>
        <w:tc>
          <w:tcPr>
            <w:tcW w:w="2780" w:type="dxa"/>
            <w:tcBorders>
              <w:top w:val="nil"/>
              <w:left w:val="nil"/>
              <w:bottom w:val="single" w:sz="4" w:space="0" w:color="auto"/>
              <w:right w:val="nil"/>
            </w:tcBorders>
            <w:shd w:val="clear" w:color="000000" w:fill="FFFF00"/>
            <w:vAlign w:val="center"/>
            <w:hideMark/>
          </w:tcPr>
          <w:p w14:paraId="060A5706" w14:textId="77777777" w:rsidR="007A6155" w:rsidRPr="007D0FCB" w:rsidRDefault="007A6155" w:rsidP="007A6155">
            <w:pPr>
              <w:rPr>
                <w:b/>
                <w:bCs/>
                <w:color w:val="000000"/>
                <w:sz w:val="22"/>
                <w:szCs w:val="22"/>
              </w:rPr>
            </w:pPr>
            <w:r w:rsidRPr="007D0FCB">
              <w:rPr>
                <w:b/>
                <w:bCs/>
                <w:color w:val="000000"/>
                <w:sz w:val="22"/>
                <w:szCs w:val="22"/>
              </w:rPr>
              <w:t>University of Oregon (Proposed)</w:t>
            </w:r>
          </w:p>
        </w:tc>
        <w:tc>
          <w:tcPr>
            <w:tcW w:w="2250" w:type="dxa"/>
            <w:tcBorders>
              <w:top w:val="nil"/>
              <w:left w:val="nil"/>
              <w:bottom w:val="single" w:sz="4" w:space="0" w:color="auto"/>
              <w:right w:val="nil"/>
            </w:tcBorders>
            <w:shd w:val="clear" w:color="000000" w:fill="FFFF00"/>
            <w:vAlign w:val="center"/>
            <w:hideMark/>
          </w:tcPr>
          <w:p w14:paraId="55B9231F" w14:textId="7A3F9964" w:rsidR="007A6155" w:rsidRPr="00752F14" w:rsidRDefault="007A6155" w:rsidP="007A6155">
            <w:pPr>
              <w:jc w:val="center"/>
              <w:rPr>
                <w:color w:val="000000"/>
                <w:sz w:val="22"/>
                <w:szCs w:val="22"/>
              </w:rPr>
            </w:pPr>
            <w:r w:rsidRPr="00752F14">
              <w:rPr>
                <w:color w:val="000000"/>
                <w:sz w:val="22"/>
                <w:szCs w:val="22"/>
              </w:rPr>
              <w:t>$50 per business course</w:t>
            </w:r>
            <w:r w:rsidR="00687C64">
              <w:rPr>
                <w:color w:val="000000"/>
                <w:sz w:val="22"/>
                <w:szCs w:val="22"/>
              </w:rPr>
              <w:t xml:space="preserve"> credit</w:t>
            </w:r>
          </w:p>
        </w:tc>
        <w:tc>
          <w:tcPr>
            <w:tcW w:w="1710" w:type="dxa"/>
            <w:tcBorders>
              <w:top w:val="nil"/>
              <w:left w:val="nil"/>
              <w:bottom w:val="single" w:sz="4" w:space="0" w:color="auto"/>
              <w:right w:val="nil"/>
            </w:tcBorders>
            <w:shd w:val="clear" w:color="000000" w:fill="FFFF00"/>
            <w:vAlign w:val="center"/>
            <w:hideMark/>
          </w:tcPr>
          <w:p w14:paraId="3A8540F7" w14:textId="18983B7D" w:rsidR="007A6155" w:rsidRPr="00752F14" w:rsidRDefault="007A6155" w:rsidP="007A6155">
            <w:pPr>
              <w:jc w:val="center"/>
              <w:rPr>
                <w:color w:val="000000"/>
                <w:sz w:val="22"/>
                <w:szCs w:val="22"/>
              </w:rPr>
            </w:pPr>
            <w:r w:rsidRPr="00752F14">
              <w:rPr>
                <w:color w:val="000000"/>
                <w:sz w:val="22"/>
                <w:szCs w:val="22"/>
              </w:rPr>
              <w:t>$50 per business course</w:t>
            </w:r>
            <w:r w:rsidR="00687C64">
              <w:rPr>
                <w:color w:val="000000"/>
                <w:sz w:val="22"/>
                <w:szCs w:val="22"/>
              </w:rPr>
              <w:t xml:space="preserve"> credit</w:t>
            </w:r>
          </w:p>
        </w:tc>
        <w:tc>
          <w:tcPr>
            <w:tcW w:w="1890" w:type="dxa"/>
            <w:tcBorders>
              <w:top w:val="nil"/>
              <w:left w:val="nil"/>
              <w:bottom w:val="single" w:sz="4" w:space="0" w:color="auto"/>
              <w:right w:val="nil"/>
            </w:tcBorders>
            <w:shd w:val="clear" w:color="000000" w:fill="FFFF00"/>
            <w:noWrap/>
            <w:vAlign w:val="center"/>
            <w:hideMark/>
          </w:tcPr>
          <w:p w14:paraId="251A225E" w14:textId="77777777" w:rsidR="007A6155" w:rsidRPr="00752F14" w:rsidRDefault="007A6155" w:rsidP="007A6155">
            <w:pPr>
              <w:jc w:val="center"/>
              <w:rPr>
                <w:color w:val="000000"/>
                <w:sz w:val="22"/>
                <w:szCs w:val="22"/>
              </w:rPr>
            </w:pPr>
            <w:r w:rsidRPr="00752F14">
              <w:rPr>
                <w:color w:val="000000"/>
                <w:sz w:val="22"/>
                <w:szCs w:val="22"/>
              </w:rPr>
              <w:t xml:space="preserve">$4,400 </w:t>
            </w:r>
          </w:p>
        </w:tc>
        <w:tc>
          <w:tcPr>
            <w:tcW w:w="900" w:type="dxa"/>
            <w:tcBorders>
              <w:top w:val="nil"/>
              <w:left w:val="nil"/>
              <w:bottom w:val="single" w:sz="4" w:space="0" w:color="auto"/>
              <w:right w:val="nil"/>
            </w:tcBorders>
            <w:shd w:val="clear" w:color="000000" w:fill="FFFF00"/>
            <w:noWrap/>
            <w:vAlign w:val="center"/>
            <w:hideMark/>
          </w:tcPr>
          <w:p w14:paraId="76A5336E" w14:textId="77777777" w:rsidR="007A6155" w:rsidRPr="00752F14" w:rsidRDefault="007A6155" w:rsidP="007A6155">
            <w:pPr>
              <w:jc w:val="center"/>
              <w:rPr>
                <w:color w:val="000000"/>
                <w:sz w:val="22"/>
                <w:szCs w:val="22"/>
              </w:rPr>
            </w:pPr>
            <w:r w:rsidRPr="00752F14">
              <w:rPr>
                <w:color w:val="000000"/>
                <w:sz w:val="22"/>
                <w:szCs w:val="22"/>
              </w:rPr>
              <w:t xml:space="preserve">$4,400 </w:t>
            </w:r>
          </w:p>
        </w:tc>
      </w:tr>
      <w:tr w:rsidR="007A6155" w:rsidRPr="007A6155" w14:paraId="1753B113" w14:textId="77777777" w:rsidTr="007D0FCB">
        <w:trPr>
          <w:trHeight w:val="380"/>
        </w:trPr>
        <w:tc>
          <w:tcPr>
            <w:tcW w:w="8630" w:type="dxa"/>
            <w:gridSpan w:val="4"/>
            <w:tcBorders>
              <w:top w:val="nil"/>
              <w:left w:val="nil"/>
              <w:bottom w:val="nil"/>
              <w:right w:val="nil"/>
            </w:tcBorders>
            <w:noWrap/>
            <w:vAlign w:val="bottom"/>
            <w:hideMark/>
          </w:tcPr>
          <w:p w14:paraId="0133EC82" w14:textId="2F12408E" w:rsidR="007A6155" w:rsidRPr="00752F14" w:rsidRDefault="007A6155" w:rsidP="007A6155">
            <w:pPr>
              <w:rPr>
                <w:color w:val="000000"/>
                <w:sz w:val="22"/>
                <w:szCs w:val="22"/>
              </w:rPr>
            </w:pPr>
            <w:r w:rsidRPr="00752F14">
              <w:rPr>
                <w:color w:val="000000"/>
                <w:sz w:val="22"/>
                <w:szCs w:val="22"/>
                <w:vertAlign w:val="superscript"/>
              </w:rPr>
              <w:t xml:space="preserve">1 </w:t>
            </w:r>
            <w:r w:rsidRPr="00752F14">
              <w:rPr>
                <w:color w:val="000000"/>
                <w:sz w:val="22"/>
                <w:szCs w:val="22"/>
              </w:rPr>
              <w:t>Relative to costs for a major in the College of Arts and Sciences (or equivalent).</w:t>
            </w:r>
            <w:r w:rsidR="00584BF2">
              <w:rPr>
                <w:color w:val="000000"/>
                <w:sz w:val="22"/>
                <w:szCs w:val="22"/>
              </w:rPr>
              <w:t xml:space="preserve"> </w:t>
            </w:r>
          </w:p>
        </w:tc>
        <w:tc>
          <w:tcPr>
            <w:tcW w:w="900" w:type="dxa"/>
            <w:tcBorders>
              <w:top w:val="nil"/>
              <w:left w:val="nil"/>
              <w:bottom w:val="nil"/>
              <w:right w:val="nil"/>
            </w:tcBorders>
            <w:noWrap/>
            <w:vAlign w:val="bottom"/>
            <w:hideMark/>
          </w:tcPr>
          <w:p w14:paraId="4004E861" w14:textId="77777777" w:rsidR="007A6155" w:rsidRPr="00752F14" w:rsidRDefault="007A6155" w:rsidP="007A6155">
            <w:pPr>
              <w:rPr>
                <w:color w:val="000000"/>
                <w:sz w:val="22"/>
                <w:szCs w:val="22"/>
              </w:rPr>
            </w:pPr>
          </w:p>
        </w:tc>
      </w:tr>
      <w:tr w:rsidR="007A6155" w:rsidRPr="007A6155" w14:paraId="6B78870A" w14:textId="77777777" w:rsidTr="007D0FCB">
        <w:trPr>
          <w:trHeight w:val="1340"/>
        </w:trPr>
        <w:tc>
          <w:tcPr>
            <w:tcW w:w="9530" w:type="dxa"/>
            <w:gridSpan w:val="5"/>
            <w:tcBorders>
              <w:top w:val="nil"/>
              <w:left w:val="nil"/>
              <w:bottom w:val="nil"/>
              <w:right w:val="nil"/>
            </w:tcBorders>
            <w:hideMark/>
          </w:tcPr>
          <w:p w14:paraId="00BCF10F" w14:textId="26185C13" w:rsidR="007A6155" w:rsidRPr="00752F14" w:rsidRDefault="007A6155" w:rsidP="007A6155">
            <w:pPr>
              <w:rPr>
                <w:color w:val="000000"/>
                <w:sz w:val="22"/>
                <w:szCs w:val="22"/>
              </w:rPr>
            </w:pPr>
            <w:r w:rsidRPr="00752F14">
              <w:rPr>
                <w:b/>
                <w:bCs/>
                <w:color w:val="000000"/>
                <w:sz w:val="22"/>
                <w:szCs w:val="22"/>
                <w:u w:val="single"/>
              </w:rPr>
              <w:lastRenderedPageBreak/>
              <w:t>Note:</w:t>
            </w:r>
            <w:r w:rsidRPr="00752F14">
              <w:rPr>
                <w:color w:val="000000"/>
                <w:sz w:val="22"/>
                <w:szCs w:val="22"/>
              </w:rPr>
              <w:t xml:space="preserve"> Total additional costs calculations for Oregon State University and Portland State University assumes a student takes 16 credits a term and is a business major for four years (both schools generally directly admit students into the major in the first year)</w:t>
            </w:r>
            <w:r w:rsidR="00584BF2">
              <w:rPr>
                <w:color w:val="000000"/>
                <w:sz w:val="22"/>
                <w:szCs w:val="22"/>
              </w:rPr>
              <w:t>, using AY25/26 tuition rates</w:t>
            </w:r>
            <w:r w:rsidRPr="00752F14">
              <w:rPr>
                <w:color w:val="000000"/>
                <w:sz w:val="22"/>
                <w:szCs w:val="22"/>
              </w:rPr>
              <w:t xml:space="preserve">. Total additional costs for the University of Oregon multiplies the proposed $50 per course credit fee times the </w:t>
            </w:r>
            <w:r w:rsidR="00347C66" w:rsidRPr="00752F14">
              <w:rPr>
                <w:color w:val="000000"/>
                <w:sz w:val="22"/>
                <w:szCs w:val="22"/>
              </w:rPr>
              <w:t>twenty-two</w:t>
            </w:r>
            <w:r w:rsidRPr="00752F14">
              <w:rPr>
                <w:color w:val="000000"/>
                <w:sz w:val="22"/>
                <w:szCs w:val="22"/>
              </w:rPr>
              <w:t xml:space="preserve"> four-credit business courses required for the major.</w:t>
            </w:r>
          </w:p>
        </w:tc>
      </w:tr>
    </w:tbl>
    <w:p w14:paraId="0665E2A3" w14:textId="77777777" w:rsidR="00443B49" w:rsidRDefault="00443B49" w:rsidP="004C6082">
      <w:pPr>
        <w:rPr>
          <w:sz w:val="22"/>
          <w:szCs w:val="22"/>
        </w:rPr>
      </w:pPr>
    </w:p>
    <w:p w14:paraId="4737BB27" w14:textId="0DD987E0" w:rsidR="007A6155" w:rsidRPr="00752F14" w:rsidRDefault="007A6155" w:rsidP="004C6082">
      <w:pPr>
        <w:rPr>
          <w:b/>
          <w:bCs/>
          <w:i/>
          <w:iCs/>
          <w:sz w:val="22"/>
          <w:szCs w:val="22"/>
        </w:rPr>
      </w:pPr>
      <w:r w:rsidRPr="00752F14">
        <w:rPr>
          <w:b/>
          <w:bCs/>
          <w:i/>
          <w:iCs/>
          <w:sz w:val="22"/>
          <w:szCs w:val="22"/>
        </w:rPr>
        <w:t>B1G Comparators</w:t>
      </w:r>
    </w:p>
    <w:p w14:paraId="1C6BFA42" w14:textId="721462CE" w:rsidR="00443B49" w:rsidRDefault="007A6155" w:rsidP="004C6082">
      <w:pPr>
        <w:rPr>
          <w:sz w:val="22"/>
          <w:szCs w:val="22"/>
        </w:rPr>
      </w:pPr>
      <w:r>
        <w:rPr>
          <w:sz w:val="22"/>
          <w:szCs w:val="22"/>
        </w:rPr>
        <w:t>The UO relies heavily on attracting non-resident students, which means it is critical that we evaluate our differential tuition for a business major versus comparator out-of-state universities</w:t>
      </w:r>
      <w:r w:rsidR="00F91155">
        <w:rPr>
          <w:sz w:val="22"/>
          <w:szCs w:val="22"/>
        </w:rPr>
        <w:t xml:space="preserve">. </w:t>
      </w:r>
      <w:r>
        <w:rPr>
          <w:sz w:val="22"/>
          <w:szCs w:val="22"/>
        </w:rPr>
        <w:t xml:space="preserve">One such set of comparators is the B1G schools, a group of schools that was top of mind when we discussed differential tuition with </w:t>
      </w:r>
      <w:r w:rsidR="00FD36FE">
        <w:rPr>
          <w:sz w:val="22"/>
          <w:szCs w:val="22"/>
        </w:rPr>
        <w:t xml:space="preserve">our UO </w:t>
      </w:r>
      <w:r>
        <w:rPr>
          <w:sz w:val="22"/>
          <w:szCs w:val="22"/>
        </w:rPr>
        <w:t>business students, as mentioned above.</w:t>
      </w:r>
    </w:p>
    <w:p w14:paraId="5B4DBB19" w14:textId="77777777" w:rsidR="00EC7661" w:rsidRDefault="00EC7661" w:rsidP="004C6082">
      <w:pPr>
        <w:rPr>
          <w:sz w:val="22"/>
          <w:szCs w:val="22"/>
        </w:rPr>
      </w:pPr>
    </w:p>
    <w:p w14:paraId="67622FC9" w14:textId="1B6E87EB" w:rsidR="00687C64" w:rsidRDefault="006E3C41" w:rsidP="004C6082">
      <w:pPr>
        <w:rPr>
          <w:sz w:val="22"/>
          <w:szCs w:val="22"/>
        </w:rPr>
      </w:pPr>
      <w:r>
        <w:rPr>
          <w:sz w:val="22"/>
          <w:szCs w:val="22"/>
        </w:rPr>
        <w:t>Table 2 provides the additional cost for a business major relative to a major from the College of Arts and Sciences from all other B1G universities. Two of the B1G schools (Northwestern and UCLA) do not offer an undergraduate business degree. Of the remaining</w:t>
      </w:r>
      <w:r w:rsidR="008427B6">
        <w:rPr>
          <w:sz w:val="22"/>
          <w:szCs w:val="22"/>
        </w:rPr>
        <w:t xml:space="preserve"> </w:t>
      </w:r>
      <w:r w:rsidR="00347C66">
        <w:rPr>
          <w:sz w:val="22"/>
          <w:szCs w:val="22"/>
        </w:rPr>
        <w:t>fifteen</w:t>
      </w:r>
      <w:r w:rsidR="008427B6">
        <w:rPr>
          <w:sz w:val="22"/>
          <w:szCs w:val="22"/>
        </w:rPr>
        <w:t xml:space="preserve"> schools, total differential tuition for a business degree </w:t>
      </w:r>
      <w:r w:rsidR="0095023A">
        <w:rPr>
          <w:sz w:val="22"/>
          <w:szCs w:val="22"/>
        </w:rPr>
        <w:t>is less in six schools and greater in nine of the schools</w:t>
      </w:r>
      <w:r w:rsidR="00584BF2">
        <w:rPr>
          <w:sz w:val="22"/>
          <w:szCs w:val="22"/>
        </w:rPr>
        <w:t>, as compared to the proposed UO rate</w:t>
      </w:r>
      <w:r w:rsidR="0095023A">
        <w:rPr>
          <w:sz w:val="22"/>
          <w:szCs w:val="22"/>
        </w:rPr>
        <w:t xml:space="preserve">. </w:t>
      </w:r>
      <w:r w:rsidR="00D81EC0">
        <w:rPr>
          <w:sz w:val="22"/>
          <w:szCs w:val="22"/>
        </w:rPr>
        <w:t xml:space="preserve">The average </w:t>
      </w:r>
      <w:r w:rsidR="00584BF2">
        <w:rPr>
          <w:sz w:val="22"/>
          <w:szCs w:val="22"/>
        </w:rPr>
        <w:t xml:space="preserve">differential </w:t>
      </w:r>
      <w:r w:rsidR="00D81EC0">
        <w:rPr>
          <w:sz w:val="22"/>
          <w:szCs w:val="22"/>
        </w:rPr>
        <w:t xml:space="preserve">cost for a business major across the 16 B1G schools with business majors </w:t>
      </w:r>
      <w:r w:rsidR="00CC58B5">
        <w:rPr>
          <w:sz w:val="22"/>
          <w:szCs w:val="22"/>
        </w:rPr>
        <w:t xml:space="preserve">(excluding UO) </w:t>
      </w:r>
      <w:r w:rsidR="00D81EC0">
        <w:rPr>
          <w:sz w:val="22"/>
          <w:szCs w:val="22"/>
        </w:rPr>
        <w:t>is $5,554 for in-state (resident) students and $6,155 for non-resident students</w:t>
      </w:r>
      <w:r w:rsidR="00F91155">
        <w:rPr>
          <w:sz w:val="22"/>
          <w:szCs w:val="22"/>
        </w:rPr>
        <w:t xml:space="preserve">. </w:t>
      </w:r>
      <w:r w:rsidR="0095023A">
        <w:rPr>
          <w:sz w:val="22"/>
          <w:szCs w:val="22"/>
        </w:rPr>
        <w:t>In summary, our proposed differential tuitio</w:t>
      </w:r>
      <w:r w:rsidR="00D81EC0">
        <w:rPr>
          <w:sz w:val="22"/>
          <w:szCs w:val="22"/>
        </w:rPr>
        <w:t>n cost of $4,400 would be lower than the average for B1G schools</w:t>
      </w:r>
      <w:r w:rsidR="003A0C5B">
        <w:rPr>
          <w:sz w:val="22"/>
          <w:szCs w:val="22"/>
        </w:rPr>
        <w:t>.</w:t>
      </w:r>
    </w:p>
    <w:p w14:paraId="094A26D8" w14:textId="77777777" w:rsidR="00EC7661" w:rsidRDefault="00EC7661" w:rsidP="004C6082">
      <w:pPr>
        <w:rPr>
          <w:sz w:val="22"/>
          <w:szCs w:val="22"/>
        </w:rPr>
      </w:pPr>
    </w:p>
    <w:tbl>
      <w:tblPr>
        <w:tblW w:w="9710" w:type="dxa"/>
        <w:tblLayout w:type="fixed"/>
        <w:tblLook w:val="04A0" w:firstRow="1" w:lastRow="0" w:firstColumn="1" w:lastColumn="0" w:noHBand="0" w:noVBand="1"/>
      </w:tblPr>
      <w:tblGrid>
        <w:gridCol w:w="3050"/>
        <w:gridCol w:w="1800"/>
        <w:gridCol w:w="1890"/>
        <w:gridCol w:w="1710"/>
        <w:gridCol w:w="1260"/>
      </w:tblGrid>
      <w:tr w:rsidR="006E3C41" w:rsidRPr="006E3C41" w14:paraId="765F7E42" w14:textId="77777777" w:rsidTr="00DB0E4C">
        <w:trPr>
          <w:trHeight w:val="680"/>
        </w:trPr>
        <w:tc>
          <w:tcPr>
            <w:tcW w:w="9710" w:type="dxa"/>
            <w:gridSpan w:val="5"/>
            <w:tcBorders>
              <w:top w:val="nil"/>
              <w:bottom w:val="single" w:sz="4" w:space="0" w:color="auto"/>
              <w:right w:val="nil"/>
            </w:tcBorders>
            <w:vAlign w:val="center"/>
            <w:hideMark/>
          </w:tcPr>
          <w:p w14:paraId="46383BEB" w14:textId="4100D3D9" w:rsidR="006E3C41" w:rsidRPr="00DB0E4C" w:rsidRDefault="006E3C41" w:rsidP="006E3C41">
            <w:pPr>
              <w:jc w:val="center"/>
              <w:rPr>
                <w:b/>
                <w:bCs/>
                <w:color w:val="000000"/>
              </w:rPr>
            </w:pPr>
            <w:r w:rsidRPr="00DB0E4C">
              <w:rPr>
                <w:b/>
                <w:bCs/>
                <w:color w:val="000000"/>
              </w:rPr>
              <w:t>Table 2: Differential Tuition Comparators: B1G Schools from Lowest to Highest</w:t>
            </w:r>
            <w:r w:rsidR="00584BF2">
              <w:rPr>
                <w:b/>
                <w:bCs/>
                <w:color w:val="000000"/>
              </w:rPr>
              <w:t xml:space="preserve"> Cost</w:t>
            </w:r>
            <w:r w:rsidRPr="00DB0E4C">
              <w:rPr>
                <w:b/>
                <w:bCs/>
                <w:color w:val="000000"/>
              </w:rPr>
              <w:t xml:space="preserve">                                                                              </w:t>
            </w:r>
          </w:p>
        </w:tc>
      </w:tr>
      <w:tr w:rsidR="006E3C41" w:rsidRPr="006E3C41" w14:paraId="364BD531" w14:textId="77777777" w:rsidTr="007D0FCB">
        <w:trPr>
          <w:trHeight w:val="800"/>
        </w:trPr>
        <w:tc>
          <w:tcPr>
            <w:tcW w:w="3050" w:type="dxa"/>
            <w:tcBorders>
              <w:top w:val="nil"/>
              <w:left w:val="nil"/>
              <w:bottom w:val="nil"/>
              <w:right w:val="nil"/>
            </w:tcBorders>
            <w:vAlign w:val="center"/>
            <w:hideMark/>
          </w:tcPr>
          <w:p w14:paraId="487BACA7" w14:textId="77777777" w:rsidR="006E3C41" w:rsidRPr="00752F14" w:rsidRDefault="006E3C41" w:rsidP="006E3C41">
            <w:pPr>
              <w:jc w:val="center"/>
              <w:rPr>
                <w:b/>
                <w:bCs/>
                <w:color w:val="000000"/>
                <w:sz w:val="22"/>
                <w:szCs w:val="22"/>
              </w:rPr>
            </w:pPr>
            <w:r w:rsidRPr="00752F14">
              <w:rPr>
                <w:b/>
                <w:bCs/>
                <w:color w:val="000000"/>
                <w:sz w:val="22"/>
                <w:szCs w:val="22"/>
              </w:rPr>
              <w:t> </w:t>
            </w:r>
          </w:p>
        </w:tc>
        <w:tc>
          <w:tcPr>
            <w:tcW w:w="3690" w:type="dxa"/>
            <w:gridSpan w:val="2"/>
            <w:tcBorders>
              <w:top w:val="single" w:sz="4" w:space="0" w:color="auto"/>
              <w:left w:val="nil"/>
              <w:bottom w:val="single" w:sz="4" w:space="0" w:color="auto"/>
              <w:right w:val="nil"/>
            </w:tcBorders>
            <w:vAlign w:val="center"/>
            <w:hideMark/>
          </w:tcPr>
          <w:p w14:paraId="4B9B541D" w14:textId="77777777" w:rsidR="006E3C41" w:rsidRPr="00752F14" w:rsidRDefault="006E3C41" w:rsidP="006E3C41">
            <w:pPr>
              <w:jc w:val="center"/>
              <w:rPr>
                <w:b/>
                <w:bCs/>
                <w:color w:val="000000"/>
                <w:sz w:val="22"/>
                <w:szCs w:val="22"/>
              </w:rPr>
            </w:pPr>
            <w:r w:rsidRPr="00752F14">
              <w:rPr>
                <w:b/>
                <w:bCs/>
                <w:color w:val="000000"/>
                <w:sz w:val="22"/>
                <w:szCs w:val="22"/>
              </w:rPr>
              <w:t>Differential Tuition Costs for                  Business Major</w:t>
            </w:r>
            <w:r w:rsidRPr="00752F14">
              <w:rPr>
                <w:b/>
                <w:bCs/>
                <w:color w:val="000000"/>
                <w:sz w:val="22"/>
                <w:szCs w:val="22"/>
                <w:vertAlign w:val="superscript"/>
              </w:rPr>
              <w:t>1</w:t>
            </w:r>
          </w:p>
        </w:tc>
        <w:tc>
          <w:tcPr>
            <w:tcW w:w="2970" w:type="dxa"/>
            <w:gridSpan w:val="2"/>
            <w:tcBorders>
              <w:top w:val="single" w:sz="4" w:space="0" w:color="auto"/>
              <w:left w:val="nil"/>
              <w:bottom w:val="single" w:sz="4" w:space="0" w:color="auto"/>
              <w:right w:val="nil"/>
            </w:tcBorders>
            <w:vAlign w:val="center"/>
            <w:hideMark/>
          </w:tcPr>
          <w:p w14:paraId="20F6C763" w14:textId="77777777" w:rsidR="006E3C41" w:rsidRPr="00752F14" w:rsidRDefault="006E3C41" w:rsidP="006E3C41">
            <w:pPr>
              <w:jc w:val="center"/>
              <w:rPr>
                <w:b/>
                <w:bCs/>
                <w:color w:val="000000"/>
                <w:sz w:val="22"/>
                <w:szCs w:val="22"/>
              </w:rPr>
            </w:pPr>
            <w:r w:rsidRPr="00752F14">
              <w:rPr>
                <w:b/>
                <w:bCs/>
                <w:color w:val="000000"/>
                <w:sz w:val="22"/>
                <w:szCs w:val="22"/>
              </w:rPr>
              <w:t>Total Additional Costs for Business Major</w:t>
            </w:r>
            <w:r w:rsidRPr="00752F14">
              <w:rPr>
                <w:b/>
                <w:bCs/>
                <w:color w:val="000000"/>
                <w:sz w:val="22"/>
                <w:szCs w:val="22"/>
                <w:vertAlign w:val="superscript"/>
              </w:rPr>
              <w:t>1</w:t>
            </w:r>
          </w:p>
        </w:tc>
      </w:tr>
      <w:tr w:rsidR="006E3C41" w:rsidRPr="006E3C41" w14:paraId="4F5B18D3" w14:textId="77777777" w:rsidTr="007D0FCB">
        <w:trPr>
          <w:trHeight w:val="440"/>
        </w:trPr>
        <w:tc>
          <w:tcPr>
            <w:tcW w:w="3050" w:type="dxa"/>
            <w:tcBorders>
              <w:top w:val="nil"/>
              <w:left w:val="nil"/>
              <w:bottom w:val="double" w:sz="6" w:space="0" w:color="auto"/>
              <w:right w:val="nil"/>
            </w:tcBorders>
            <w:noWrap/>
            <w:vAlign w:val="bottom"/>
            <w:hideMark/>
          </w:tcPr>
          <w:p w14:paraId="163E836F" w14:textId="77777777" w:rsidR="006E3C41" w:rsidRPr="00752F14" w:rsidRDefault="006E3C41" w:rsidP="006E3C41">
            <w:pPr>
              <w:rPr>
                <w:color w:val="000000"/>
                <w:sz w:val="22"/>
                <w:szCs w:val="22"/>
              </w:rPr>
            </w:pPr>
            <w:r w:rsidRPr="00752F14">
              <w:rPr>
                <w:color w:val="000000"/>
                <w:sz w:val="22"/>
                <w:szCs w:val="22"/>
              </w:rPr>
              <w:t> </w:t>
            </w:r>
          </w:p>
        </w:tc>
        <w:tc>
          <w:tcPr>
            <w:tcW w:w="1800" w:type="dxa"/>
            <w:tcBorders>
              <w:top w:val="nil"/>
              <w:left w:val="nil"/>
              <w:bottom w:val="double" w:sz="6" w:space="0" w:color="auto"/>
              <w:right w:val="nil"/>
            </w:tcBorders>
            <w:noWrap/>
            <w:vAlign w:val="center"/>
            <w:hideMark/>
          </w:tcPr>
          <w:p w14:paraId="7744E980" w14:textId="77777777" w:rsidR="006E3C41" w:rsidRPr="00752F14" w:rsidRDefault="006E3C41" w:rsidP="006E3C41">
            <w:pPr>
              <w:jc w:val="center"/>
              <w:rPr>
                <w:b/>
                <w:bCs/>
                <w:color w:val="000000"/>
                <w:sz w:val="22"/>
                <w:szCs w:val="22"/>
              </w:rPr>
            </w:pPr>
            <w:r w:rsidRPr="00752F14">
              <w:rPr>
                <w:b/>
                <w:bCs/>
                <w:color w:val="000000"/>
                <w:sz w:val="22"/>
                <w:szCs w:val="22"/>
              </w:rPr>
              <w:t>Resident</w:t>
            </w:r>
          </w:p>
        </w:tc>
        <w:tc>
          <w:tcPr>
            <w:tcW w:w="1890" w:type="dxa"/>
            <w:tcBorders>
              <w:top w:val="nil"/>
              <w:left w:val="nil"/>
              <w:bottom w:val="double" w:sz="6" w:space="0" w:color="auto"/>
              <w:right w:val="nil"/>
            </w:tcBorders>
            <w:noWrap/>
            <w:vAlign w:val="center"/>
            <w:hideMark/>
          </w:tcPr>
          <w:p w14:paraId="29BECBD6" w14:textId="77777777" w:rsidR="006E3C41" w:rsidRPr="00752F14" w:rsidRDefault="006E3C41" w:rsidP="006E3C41">
            <w:pPr>
              <w:jc w:val="center"/>
              <w:rPr>
                <w:b/>
                <w:bCs/>
                <w:color w:val="000000"/>
                <w:sz w:val="22"/>
                <w:szCs w:val="22"/>
              </w:rPr>
            </w:pPr>
            <w:r w:rsidRPr="00752F14">
              <w:rPr>
                <w:b/>
                <w:bCs/>
                <w:color w:val="000000"/>
                <w:sz w:val="22"/>
                <w:szCs w:val="22"/>
              </w:rPr>
              <w:t>Non-Resident</w:t>
            </w:r>
          </w:p>
        </w:tc>
        <w:tc>
          <w:tcPr>
            <w:tcW w:w="1710" w:type="dxa"/>
            <w:tcBorders>
              <w:top w:val="nil"/>
              <w:left w:val="nil"/>
              <w:bottom w:val="double" w:sz="6" w:space="0" w:color="auto"/>
              <w:right w:val="nil"/>
            </w:tcBorders>
            <w:noWrap/>
            <w:vAlign w:val="center"/>
            <w:hideMark/>
          </w:tcPr>
          <w:p w14:paraId="179E9FA5" w14:textId="77777777" w:rsidR="006E3C41" w:rsidRPr="00752F14" w:rsidRDefault="006E3C41" w:rsidP="006E3C41">
            <w:pPr>
              <w:jc w:val="center"/>
              <w:rPr>
                <w:b/>
                <w:bCs/>
                <w:color w:val="000000"/>
                <w:sz w:val="22"/>
                <w:szCs w:val="22"/>
              </w:rPr>
            </w:pPr>
            <w:r w:rsidRPr="00752F14">
              <w:rPr>
                <w:b/>
                <w:bCs/>
                <w:color w:val="000000"/>
                <w:sz w:val="22"/>
                <w:szCs w:val="22"/>
              </w:rPr>
              <w:t>Resident</w:t>
            </w:r>
          </w:p>
        </w:tc>
        <w:tc>
          <w:tcPr>
            <w:tcW w:w="1260" w:type="dxa"/>
            <w:tcBorders>
              <w:top w:val="nil"/>
              <w:left w:val="nil"/>
              <w:bottom w:val="double" w:sz="6" w:space="0" w:color="auto"/>
              <w:right w:val="nil"/>
            </w:tcBorders>
            <w:noWrap/>
            <w:vAlign w:val="center"/>
            <w:hideMark/>
          </w:tcPr>
          <w:p w14:paraId="3B5F3AAF" w14:textId="77777777" w:rsidR="006E3C41" w:rsidRPr="00752F14" w:rsidRDefault="006E3C41" w:rsidP="006E3C41">
            <w:pPr>
              <w:jc w:val="center"/>
              <w:rPr>
                <w:b/>
                <w:bCs/>
                <w:color w:val="000000"/>
                <w:sz w:val="22"/>
                <w:szCs w:val="22"/>
              </w:rPr>
            </w:pPr>
            <w:r w:rsidRPr="00752F14">
              <w:rPr>
                <w:b/>
                <w:bCs/>
                <w:color w:val="000000"/>
                <w:sz w:val="22"/>
                <w:szCs w:val="22"/>
              </w:rPr>
              <w:t>Non-Resident</w:t>
            </w:r>
          </w:p>
        </w:tc>
      </w:tr>
      <w:tr w:rsidR="006E3C41" w:rsidRPr="006E3C41" w14:paraId="1FE005DA" w14:textId="77777777" w:rsidTr="007D0FCB">
        <w:trPr>
          <w:trHeight w:val="540"/>
        </w:trPr>
        <w:tc>
          <w:tcPr>
            <w:tcW w:w="3050" w:type="dxa"/>
            <w:tcBorders>
              <w:top w:val="nil"/>
              <w:left w:val="nil"/>
              <w:bottom w:val="nil"/>
              <w:right w:val="nil"/>
            </w:tcBorders>
            <w:vAlign w:val="center"/>
            <w:hideMark/>
          </w:tcPr>
          <w:p w14:paraId="74D43AE7" w14:textId="77777777" w:rsidR="006E3C41" w:rsidRPr="00752F14" w:rsidRDefault="006E3C41" w:rsidP="006E3C41">
            <w:pPr>
              <w:rPr>
                <w:b/>
                <w:bCs/>
                <w:color w:val="000000"/>
                <w:sz w:val="22"/>
                <w:szCs w:val="22"/>
              </w:rPr>
            </w:pPr>
            <w:r w:rsidRPr="00752F14">
              <w:rPr>
                <w:b/>
                <w:bCs/>
                <w:color w:val="000000"/>
                <w:sz w:val="22"/>
                <w:szCs w:val="22"/>
              </w:rPr>
              <w:t>University of Minnesota</w:t>
            </w:r>
          </w:p>
        </w:tc>
        <w:tc>
          <w:tcPr>
            <w:tcW w:w="1800" w:type="dxa"/>
            <w:tcBorders>
              <w:top w:val="nil"/>
              <w:left w:val="nil"/>
              <w:bottom w:val="nil"/>
              <w:right w:val="nil"/>
            </w:tcBorders>
            <w:vAlign w:val="center"/>
            <w:hideMark/>
          </w:tcPr>
          <w:p w14:paraId="0CE4B179" w14:textId="77777777" w:rsidR="006E3C41" w:rsidRPr="00752F14" w:rsidRDefault="006E3C41" w:rsidP="006E3C41">
            <w:pPr>
              <w:jc w:val="center"/>
              <w:rPr>
                <w:color w:val="000000"/>
                <w:sz w:val="22"/>
                <w:szCs w:val="22"/>
              </w:rPr>
            </w:pPr>
            <w:r w:rsidRPr="00752F14">
              <w:rPr>
                <w:color w:val="000000"/>
                <w:sz w:val="22"/>
                <w:szCs w:val="22"/>
              </w:rPr>
              <w:t xml:space="preserve">$0 </w:t>
            </w:r>
          </w:p>
        </w:tc>
        <w:tc>
          <w:tcPr>
            <w:tcW w:w="1890" w:type="dxa"/>
            <w:tcBorders>
              <w:top w:val="nil"/>
              <w:left w:val="nil"/>
              <w:bottom w:val="nil"/>
              <w:right w:val="nil"/>
            </w:tcBorders>
            <w:vAlign w:val="center"/>
            <w:hideMark/>
          </w:tcPr>
          <w:p w14:paraId="3C7924AE" w14:textId="77777777" w:rsidR="006E3C41" w:rsidRPr="00752F14" w:rsidRDefault="006E3C41" w:rsidP="006E3C41">
            <w:pPr>
              <w:jc w:val="center"/>
              <w:rPr>
                <w:color w:val="000000"/>
                <w:sz w:val="22"/>
                <w:szCs w:val="22"/>
              </w:rPr>
            </w:pPr>
            <w:r w:rsidRPr="00752F14">
              <w:rPr>
                <w:color w:val="000000"/>
                <w:sz w:val="22"/>
                <w:szCs w:val="22"/>
              </w:rPr>
              <w:t xml:space="preserve">$0 </w:t>
            </w:r>
          </w:p>
        </w:tc>
        <w:tc>
          <w:tcPr>
            <w:tcW w:w="1710" w:type="dxa"/>
            <w:tcBorders>
              <w:top w:val="nil"/>
              <w:left w:val="nil"/>
              <w:bottom w:val="nil"/>
              <w:right w:val="nil"/>
            </w:tcBorders>
            <w:noWrap/>
            <w:vAlign w:val="center"/>
            <w:hideMark/>
          </w:tcPr>
          <w:p w14:paraId="0E810A1F" w14:textId="77777777" w:rsidR="006E3C41" w:rsidRPr="00752F14" w:rsidRDefault="006E3C41" w:rsidP="006E3C41">
            <w:pPr>
              <w:jc w:val="center"/>
              <w:rPr>
                <w:color w:val="000000"/>
                <w:sz w:val="22"/>
                <w:szCs w:val="22"/>
              </w:rPr>
            </w:pPr>
            <w:r w:rsidRPr="00752F14">
              <w:rPr>
                <w:color w:val="000000"/>
                <w:sz w:val="22"/>
                <w:szCs w:val="22"/>
              </w:rPr>
              <w:t xml:space="preserve">$0 </w:t>
            </w:r>
          </w:p>
        </w:tc>
        <w:tc>
          <w:tcPr>
            <w:tcW w:w="1260" w:type="dxa"/>
            <w:tcBorders>
              <w:top w:val="nil"/>
              <w:left w:val="nil"/>
              <w:bottom w:val="nil"/>
              <w:right w:val="nil"/>
            </w:tcBorders>
            <w:noWrap/>
            <w:vAlign w:val="center"/>
            <w:hideMark/>
          </w:tcPr>
          <w:p w14:paraId="076DF1C0" w14:textId="77777777" w:rsidR="006E3C41" w:rsidRPr="00752F14" w:rsidRDefault="006E3C41" w:rsidP="006E3C41">
            <w:pPr>
              <w:jc w:val="center"/>
              <w:rPr>
                <w:color w:val="000000"/>
                <w:sz w:val="22"/>
                <w:szCs w:val="22"/>
              </w:rPr>
            </w:pPr>
            <w:r w:rsidRPr="00752F14">
              <w:rPr>
                <w:color w:val="000000"/>
                <w:sz w:val="22"/>
                <w:szCs w:val="22"/>
              </w:rPr>
              <w:t xml:space="preserve">$0 </w:t>
            </w:r>
          </w:p>
        </w:tc>
      </w:tr>
      <w:tr w:rsidR="006E3C41" w:rsidRPr="006E3C41" w14:paraId="5A7D0336" w14:textId="77777777" w:rsidTr="007D0FCB">
        <w:trPr>
          <w:trHeight w:val="540"/>
        </w:trPr>
        <w:tc>
          <w:tcPr>
            <w:tcW w:w="3050" w:type="dxa"/>
            <w:tcBorders>
              <w:top w:val="nil"/>
              <w:left w:val="nil"/>
              <w:bottom w:val="nil"/>
              <w:right w:val="nil"/>
            </w:tcBorders>
            <w:vAlign w:val="center"/>
            <w:hideMark/>
          </w:tcPr>
          <w:p w14:paraId="704D5163" w14:textId="1142EFC4" w:rsidR="006E3C41" w:rsidRPr="00752F14" w:rsidRDefault="006E3C41" w:rsidP="006E3C41">
            <w:pPr>
              <w:rPr>
                <w:b/>
                <w:bCs/>
                <w:color w:val="000000"/>
                <w:sz w:val="22"/>
                <w:szCs w:val="22"/>
              </w:rPr>
            </w:pPr>
            <w:r w:rsidRPr="00752F14">
              <w:rPr>
                <w:b/>
                <w:bCs/>
                <w:color w:val="000000"/>
                <w:sz w:val="22"/>
                <w:szCs w:val="22"/>
              </w:rPr>
              <w:t xml:space="preserve">University of </w:t>
            </w:r>
            <w:r w:rsidR="007D0FCB">
              <w:rPr>
                <w:b/>
                <w:bCs/>
                <w:color w:val="000000"/>
                <w:sz w:val="22"/>
                <w:szCs w:val="22"/>
              </w:rPr>
              <w:t>S.</w:t>
            </w:r>
            <w:r w:rsidRPr="00752F14">
              <w:rPr>
                <w:b/>
                <w:bCs/>
                <w:color w:val="000000"/>
                <w:sz w:val="22"/>
                <w:szCs w:val="22"/>
              </w:rPr>
              <w:t xml:space="preserve"> California</w:t>
            </w:r>
          </w:p>
        </w:tc>
        <w:tc>
          <w:tcPr>
            <w:tcW w:w="1800" w:type="dxa"/>
            <w:tcBorders>
              <w:top w:val="nil"/>
              <w:left w:val="nil"/>
              <w:bottom w:val="nil"/>
              <w:right w:val="nil"/>
            </w:tcBorders>
            <w:vAlign w:val="center"/>
            <w:hideMark/>
          </w:tcPr>
          <w:p w14:paraId="613830F5" w14:textId="77777777" w:rsidR="006E3C41" w:rsidRPr="00752F14" w:rsidRDefault="006E3C41" w:rsidP="006E3C41">
            <w:pPr>
              <w:jc w:val="center"/>
              <w:rPr>
                <w:color w:val="000000"/>
                <w:sz w:val="22"/>
                <w:szCs w:val="22"/>
              </w:rPr>
            </w:pPr>
            <w:r w:rsidRPr="00752F14">
              <w:rPr>
                <w:color w:val="000000"/>
                <w:sz w:val="22"/>
                <w:szCs w:val="22"/>
              </w:rPr>
              <w:t xml:space="preserve">$0 </w:t>
            </w:r>
          </w:p>
        </w:tc>
        <w:tc>
          <w:tcPr>
            <w:tcW w:w="1890" w:type="dxa"/>
            <w:tcBorders>
              <w:top w:val="nil"/>
              <w:left w:val="nil"/>
              <w:bottom w:val="nil"/>
              <w:right w:val="nil"/>
            </w:tcBorders>
            <w:vAlign w:val="center"/>
            <w:hideMark/>
          </w:tcPr>
          <w:p w14:paraId="43BB19B8" w14:textId="77777777" w:rsidR="006E3C41" w:rsidRPr="00752F14" w:rsidRDefault="006E3C41" w:rsidP="006E3C41">
            <w:pPr>
              <w:jc w:val="center"/>
              <w:rPr>
                <w:color w:val="000000"/>
                <w:sz w:val="22"/>
                <w:szCs w:val="22"/>
              </w:rPr>
            </w:pPr>
            <w:r w:rsidRPr="00752F14">
              <w:rPr>
                <w:color w:val="000000"/>
                <w:sz w:val="22"/>
                <w:szCs w:val="22"/>
              </w:rPr>
              <w:t xml:space="preserve">$0 </w:t>
            </w:r>
          </w:p>
        </w:tc>
        <w:tc>
          <w:tcPr>
            <w:tcW w:w="1710" w:type="dxa"/>
            <w:tcBorders>
              <w:top w:val="nil"/>
              <w:left w:val="nil"/>
              <w:bottom w:val="nil"/>
              <w:right w:val="nil"/>
            </w:tcBorders>
            <w:noWrap/>
            <w:vAlign w:val="center"/>
            <w:hideMark/>
          </w:tcPr>
          <w:p w14:paraId="7BD68533" w14:textId="77777777" w:rsidR="006E3C41" w:rsidRPr="00752F14" w:rsidRDefault="006E3C41" w:rsidP="006E3C41">
            <w:pPr>
              <w:jc w:val="center"/>
              <w:rPr>
                <w:color w:val="000000"/>
                <w:sz w:val="22"/>
                <w:szCs w:val="22"/>
              </w:rPr>
            </w:pPr>
            <w:r w:rsidRPr="00752F14">
              <w:rPr>
                <w:color w:val="000000"/>
                <w:sz w:val="22"/>
                <w:szCs w:val="22"/>
              </w:rPr>
              <w:t xml:space="preserve">$0 </w:t>
            </w:r>
          </w:p>
        </w:tc>
        <w:tc>
          <w:tcPr>
            <w:tcW w:w="1260" w:type="dxa"/>
            <w:tcBorders>
              <w:top w:val="nil"/>
              <w:left w:val="nil"/>
              <w:bottom w:val="nil"/>
              <w:right w:val="nil"/>
            </w:tcBorders>
            <w:noWrap/>
            <w:vAlign w:val="center"/>
            <w:hideMark/>
          </w:tcPr>
          <w:p w14:paraId="6FC1022A" w14:textId="77777777" w:rsidR="006E3C41" w:rsidRPr="00752F14" w:rsidRDefault="006E3C41" w:rsidP="006E3C41">
            <w:pPr>
              <w:jc w:val="center"/>
              <w:rPr>
                <w:color w:val="000000"/>
                <w:sz w:val="22"/>
                <w:szCs w:val="22"/>
              </w:rPr>
            </w:pPr>
            <w:r w:rsidRPr="00752F14">
              <w:rPr>
                <w:color w:val="000000"/>
                <w:sz w:val="22"/>
                <w:szCs w:val="22"/>
              </w:rPr>
              <w:t xml:space="preserve">$0 </w:t>
            </w:r>
          </w:p>
        </w:tc>
      </w:tr>
      <w:tr w:rsidR="006E3C41" w:rsidRPr="006E3C41" w14:paraId="50BE2F0B" w14:textId="77777777" w:rsidTr="007D0FCB">
        <w:trPr>
          <w:trHeight w:val="420"/>
        </w:trPr>
        <w:tc>
          <w:tcPr>
            <w:tcW w:w="3050" w:type="dxa"/>
            <w:tcBorders>
              <w:top w:val="nil"/>
              <w:left w:val="nil"/>
              <w:bottom w:val="nil"/>
              <w:right w:val="nil"/>
            </w:tcBorders>
            <w:vAlign w:val="center"/>
            <w:hideMark/>
          </w:tcPr>
          <w:p w14:paraId="08F1157F" w14:textId="77777777" w:rsidR="006E3C41" w:rsidRPr="00752F14" w:rsidRDefault="006E3C41" w:rsidP="006E3C41">
            <w:pPr>
              <w:rPr>
                <w:b/>
                <w:bCs/>
                <w:color w:val="000000"/>
                <w:sz w:val="22"/>
                <w:szCs w:val="22"/>
              </w:rPr>
            </w:pPr>
            <w:r w:rsidRPr="00752F14">
              <w:rPr>
                <w:b/>
                <w:bCs/>
                <w:color w:val="000000"/>
                <w:sz w:val="22"/>
                <w:szCs w:val="22"/>
              </w:rPr>
              <w:t>University of Washington</w:t>
            </w:r>
          </w:p>
        </w:tc>
        <w:tc>
          <w:tcPr>
            <w:tcW w:w="1800" w:type="dxa"/>
            <w:tcBorders>
              <w:top w:val="nil"/>
              <w:left w:val="nil"/>
              <w:bottom w:val="nil"/>
              <w:right w:val="nil"/>
            </w:tcBorders>
            <w:vAlign w:val="center"/>
            <w:hideMark/>
          </w:tcPr>
          <w:p w14:paraId="23D26BAD" w14:textId="77777777" w:rsidR="006E3C41" w:rsidRPr="00752F14" w:rsidRDefault="006E3C41" w:rsidP="006E3C41">
            <w:pPr>
              <w:jc w:val="center"/>
              <w:rPr>
                <w:color w:val="000000"/>
                <w:sz w:val="22"/>
                <w:szCs w:val="22"/>
              </w:rPr>
            </w:pPr>
            <w:r w:rsidRPr="00752F14">
              <w:rPr>
                <w:color w:val="000000"/>
                <w:sz w:val="22"/>
                <w:szCs w:val="22"/>
              </w:rPr>
              <w:t xml:space="preserve">$0 </w:t>
            </w:r>
          </w:p>
        </w:tc>
        <w:tc>
          <w:tcPr>
            <w:tcW w:w="1890" w:type="dxa"/>
            <w:tcBorders>
              <w:top w:val="nil"/>
              <w:left w:val="nil"/>
              <w:bottom w:val="nil"/>
              <w:right w:val="nil"/>
            </w:tcBorders>
            <w:vAlign w:val="center"/>
            <w:hideMark/>
          </w:tcPr>
          <w:p w14:paraId="5A798AB6" w14:textId="77777777" w:rsidR="006E3C41" w:rsidRPr="00752F14" w:rsidRDefault="006E3C41" w:rsidP="006E3C41">
            <w:pPr>
              <w:jc w:val="center"/>
              <w:rPr>
                <w:color w:val="000000"/>
                <w:sz w:val="22"/>
                <w:szCs w:val="22"/>
              </w:rPr>
            </w:pPr>
            <w:r w:rsidRPr="00752F14">
              <w:rPr>
                <w:color w:val="000000"/>
                <w:sz w:val="22"/>
                <w:szCs w:val="22"/>
              </w:rPr>
              <w:t xml:space="preserve">$0 </w:t>
            </w:r>
          </w:p>
        </w:tc>
        <w:tc>
          <w:tcPr>
            <w:tcW w:w="1710" w:type="dxa"/>
            <w:tcBorders>
              <w:top w:val="nil"/>
              <w:left w:val="nil"/>
              <w:bottom w:val="nil"/>
              <w:right w:val="nil"/>
            </w:tcBorders>
            <w:noWrap/>
            <w:vAlign w:val="center"/>
            <w:hideMark/>
          </w:tcPr>
          <w:p w14:paraId="03CB512C" w14:textId="77777777" w:rsidR="006E3C41" w:rsidRPr="00752F14" w:rsidRDefault="006E3C41" w:rsidP="006E3C41">
            <w:pPr>
              <w:jc w:val="center"/>
              <w:rPr>
                <w:color w:val="000000"/>
                <w:sz w:val="22"/>
                <w:szCs w:val="22"/>
              </w:rPr>
            </w:pPr>
            <w:r w:rsidRPr="00752F14">
              <w:rPr>
                <w:color w:val="000000"/>
                <w:sz w:val="22"/>
                <w:szCs w:val="22"/>
              </w:rPr>
              <w:t xml:space="preserve">$0 </w:t>
            </w:r>
          </w:p>
        </w:tc>
        <w:tc>
          <w:tcPr>
            <w:tcW w:w="1260" w:type="dxa"/>
            <w:tcBorders>
              <w:top w:val="nil"/>
              <w:left w:val="nil"/>
              <w:bottom w:val="nil"/>
              <w:right w:val="nil"/>
            </w:tcBorders>
            <w:noWrap/>
            <w:vAlign w:val="center"/>
            <w:hideMark/>
          </w:tcPr>
          <w:p w14:paraId="29F5AB6D" w14:textId="77777777" w:rsidR="006E3C41" w:rsidRPr="00752F14" w:rsidRDefault="006E3C41" w:rsidP="006E3C41">
            <w:pPr>
              <w:jc w:val="center"/>
              <w:rPr>
                <w:color w:val="000000"/>
                <w:sz w:val="22"/>
                <w:szCs w:val="22"/>
              </w:rPr>
            </w:pPr>
            <w:r w:rsidRPr="00752F14">
              <w:rPr>
                <w:color w:val="000000"/>
                <w:sz w:val="22"/>
                <w:szCs w:val="22"/>
              </w:rPr>
              <w:t xml:space="preserve">$0 </w:t>
            </w:r>
          </w:p>
        </w:tc>
      </w:tr>
      <w:tr w:rsidR="006E3C41" w:rsidRPr="006E3C41" w14:paraId="29A39A5C" w14:textId="77777777" w:rsidTr="007D0FCB">
        <w:trPr>
          <w:trHeight w:val="680"/>
        </w:trPr>
        <w:tc>
          <w:tcPr>
            <w:tcW w:w="3050" w:type="dxa"/>
            <w:tcBorders>
              <w:top w:val="nil"/>
              <w:left w:val="nil"/>
              <w:bottom w:val="nil"/>
              <w:right w:val="nil"/>
            </w:tcBorders>
            <w:vAlign w:val="center"/>
            <w:hideMark/>
          </w:tcPr>
          <w:p w14:paraId="2B1F868C" w14:textId="77777777" w:rsidR="006E3C41" w:rsidRPr="00752F14" w:rsidRDefault="006E3C41" w:rsidP="006E3C41">
            <w:pPr>
              <w:rPr>
                <w:b/>
                <w:bCs/>
                <w:color w:val="000000"/>
                <w:sz w:val="22"/>
                <w:szCs w:val="22"/>
              </w:rPr>
            </w:pPr>
            <w:r w:rsidRPr="00752F14">
              <w:rPr>
                <w:b/>
                <w:bCs/>
                <w:color w:val="000000"/>
                <w:sz w:val="22"/>
                <w:szCs w:val="22"/>
              </w:rPr>
              <w:t>Michigan State University</w:t>
            </w:r>
          </w:p>
        </w:tc>
        <w:tc>
          <w:tcPr>
            <w:tcW w:w="1800" w:type="dxa"/>
            <w:tcBorders>
              <w:top w:val="nil"/>
              <w:left w:val="nil"/>
              <w:bottom w:val="nil"/>
              <w:right w:val="nil"/>
            </w:tcBorders>
            <w:vAlign w:val="center"/>
            <w:hideMark/>
          </w:tcPr>
          <w:p w14:paraId="7379829F" w14:textId="77777777" w:rsidR="006E3C41" w:rsidRPr="00752F14" w:rsidRDefault="006E3C41" w:rsidP="006E3C41">
            <w:pPr>
              <w:jc w:val="center"/>
              <w:rPr>
                <w:color w:val="000000"/>
                <w:sz w:val="22"/>
                <w:szCs w:val="22"/>
              </w:rPr>
            </w:pPr>
            <w:r w:rsidRPr="00752F14">
              <w:rPr>
                <w:color w:val="000000"/>
                <w:sz w:val="22"/>
                <w:szCs w:val="22"/>
              </w:rPr>
              <w:t>$586 per year for years 3 &amp; 4</w:t>
            </w:r>
          </w:p>
        </w:tc>
        <w:tc>
          <w:tcPr>
            <w:tcW w:w="1890" w:type="dxa"/>
            <w:tcBorders>
              <w:top w:val="nil"/>
              <w:left w:val="nil"/>
              <w:bottom w:val="nil"/>
              <w:right w:val="nil"/>
            </w:tcBorders>
            <w:vAlign w:val="center"/>
            <w:hideMark/>
          </w:tcPr>
          <w:p w14:paraId="1794FED5" w14:textId="77777777" w:rsidR="006E3C41" w:rsidRPr="00752F14" w:rsidRDefault="006E3C41" w:rsidP="006E3C41">
            <w:pPr>
              <w:jc w:val="center"/>
              <w:rPr>
                <w:color w:val="000000"/>
                <w:sz w:val="22"/>
                <w:szCs w:val="22"/>
              </w:rPr>
            </w:pPr>
            <w:r w:rsidRPr="00752F14">
              <w:rPr>
                <w:color w:val="000000"/>
                <w:sz w:val="22"/>
                <w:szCs w:val="22"/>
              </w:rPr>
              <w:t>$618 per year for years 3 &amp; 4</w:t>
            </w:r>
          </w:p>
        </w:tc>
        <w:tc>
          <w:tcPr>
            <w:tcW w:w="1710" w:type="dxa"/>
            <w:tcBorders>
              <w:top w:val="nil"/>
              <w:left w:val="nil"/>
              <w:bottom w:val="nil"/>
              <w:right w:val="nil"/>
            </w:tcBorders>
            <w:noWrap/>
            <w:vAlign w:val="center"/>
            <w:hideMark/>
          </w:tcPr>
          <w:p w14:paraId="4A00E89A" w14:textId="77777777" w:rsidR="006E3C41" w:rsidRPr="00752F14" w:rsidRDefault="006E3C41" w:rsidP="006E3C41">
            <w:pPr>
              <w:jc w:val="center"/>
              <w:rPr>
                <w:color w:val="000000"/>
                <w:sz w:val="22"/>
                <w:szCs w:val="22"/>
              </w:rPr>
            </w:pPr>
            <w:r w:rsidRPr="00752F14">
              <w:rPr>
                <w:color w:val="000000"/>
                <w:sz w:val="22"/>
                <w:szCs w:val="22"/>
              </w:rPr>
              <w:t xml:space="preserve">$1,172 </w:t>
            </w:r>
          </w:p>
        </w:tc>
        <w:tc>
          <w:tcPr>
            <w:tcW w:w="1260" w:type="dxa"/>
            <w:tcBorders>
              <w:top w:val="nil"/>
              <w:left w:val="nil"/>
              <w:bottom w:val="nil"/>
              <w:right w:val="nil"/>
            </w:tcBorders>
            <w:noWrap/>
            <w:vAlign w:val="center"/>
            <w:hideMark/>
          </w:tcPr>
          <w:p w14:paraId="1FE830C4" w14:textId="77777777" w:rsidR="006E3C41" w:rsidRPr="00752F14" w:rsidRDefault="006E3C41" w:rsidP="006E3C41">
            <w:pPr>
              <w:jc w:val="center"/>
              <w:rPr>
                <w:color w:val="000000"/>
                <w:sz w:val="22"/>
                <w:szCs w:val="22"/>
              </w:rPr>
            </w:pPr>
            <w:r w:rsidRPr="00752F14">
              <w:rPr>
                <w:color w:val="000000"/>
                <w:sz w:val="22"/>
                <w:szCs w:val="22"/>
              </w:rPr>
              <w:t xml:space="preserve">$1,236 </w:t>
            </w:r>
          </w:p>
        </w:tc>
      </w:tr>
      <w:tr w:rsidR="006E3C41" w:rsidRPr="006E3C41" w14:paraId="10FB5C0D" w14:textId="77777777" w:rsidTr="007D0FCB">
        <w:trPr>
          <w:trHeight w:val="420"/>
        </w:trPr>
        <w:tc>
          <w:tcPr>
            <w:tcW w:w="3050" w:type="dxa"/>
            <w:tcBorders>
              <w:top w:val="nil"/>
              <w:left w:val="nil"/>
              <w:bottom w:val="nil"/>
              <w:right w:val="nil"/>
            </w:tcBorders>
            <w:vAlign w:val="center"/>
            <w:hideMark/>
          </w:tcPr>
          <w:p w14:paraId="04657605" w14:textId="77777777" w:rsidR="006E3C41" w:rsidRPr="00752F14" w:rsidRDefault="006E3C41" w:rsidP="006E3C41">
            <w:pPr>
              <w:rPr>
                <w:b/>
                <w:bCs/>
                <w:color w:val="000000"/>
                <w:sz w:val="22"/>
                <w:szCs w:val="22"/>
              </w:rPr>
            </w:pPr>
            <w:r w:rsidRPr="00752F14">
              <w:rPr>
                <w:b/>
                <w:bCs/>
                <w:color w:val="000000"/>
                <w:sz w:val="22"/>
                <w:szCs w:val="22"/>
              </w:rPr>
              <w:t>Rutgers University</w:t>
            </w:r>
            <w:r w:rsidRPr="00752F14">
              <w:rPr>
                <w:b/>
                <w:bCs/>
                <w:color w:val="000000"/>
                <w:sz w:val="22"/>
                <w:szCs w:val="22"/>
                <w:vertAlign w:val="superscript"/>
              </w:rPr>
              <w:t>2</w:t>
            </w:r>
          </w:p>
        </w:tc>
        <w:tc>
          <w:tcPr>
            <w:tcW w:w="1800" w:type="dxa"/>
            <w:tcBorders>
              <w:top w:val="nil"/>
              <w:left w:val="nil"/>
              <w:bottom w:val="nil"/>
              <w:right w:val="nil"/>
            </w:tcBorders>
            <w:vAlign w:val="center"/>
            <w:hideMark/>
          </w:tcPr>
          <w:p w14:paraId="436D52F1" w14:textId="77777777" w:rsidR="006E3C41" w:rsidRPr="00752F14" w:rsidRDefault="006E3C41" w:rsidP="006E3C41">
            <w:pPr>
              <w:jc w:val="center"/>
              <w:rPr>
                <w:color w:val="000000"/>
                <w:sz w:val="22"/>
                <w:szCs w:val="22"/>
              </w:rPr>
            </w:pPr>
            <w:r w:rsidRPr="00752F14">
              <w:rPr>
                <w:color w:val="000000"/>
                <w:sz w:val="22"/>
                <w:szCs w:val="22"/>
              </w:rPr>
              <w:t>$225 per semester</w:t>
            </w:r>
          </w:p>
        </w:tc>
        <w:tc>
          <w:tcPr>
            <w:tcW w:w="1890" w:type="dxa"/>
            <w:tcBorders>
              <w:top w:val="nil"/>
              <w:left w:val="nil"/>
              <w:bottom w:val="nil"/>
              <w:right w:val="nil"/>
            </w:tcBorders>
            <w:vAlign w:val="center"/>
            <w:hideMark/>
          </w:tcPr>
          <w:p w14:paraId="5413B912" w14:textId="77777777" w:rsidR="006E3C41" w:rsidRPr="00752F14" w:rsidRDefault="006E3C41" w:rsidP="006E3C41">
            <w:pPr>
              <w:jc w:val="center"/>
              <w:rPr>
                <w:color w:val="000000"/>
                <w:sz w:val="22"/>
                <w:szCs w:val="22"/>
              </w:rPr>
            </w:pPr>
            <w:r w:rsidRPr="00752F14">
              <w:rPr>
                <w:color w:val="000000"/>
                <w:sz w:val="22"/>
                <w:szCs w:val="22"/>
              </w:rPr>
              <w:t>$10.50 per semester</w:t>
            </w:r>
          </w:p>
        </w:tc>
        <w:tc>
          <w:tcPr>
            <w:tcW w:w="1710" w:type="dxa"/>
            <w:tcBorders>
              <w:top w:val="nil"/>
              <w:left w:val="nil"/>
              <w:bottom w:val="nil"/>
              <w:right w:val="nil"/>
            </w:tcBorders>
            <w:noWrap/>
            <w:vAlign w:val="center"/>
            <w:hideMark/>
          </w:tcPr>
          <w:p w14:paraId="13AFD95C" w14:textId="77777777" w:rsidR="006E3C41" w:rsidRPr="00752F14" w:rsidRDefault="006E3C41" w:rsidP="006E3C41">
            <w:pPr>
              <w:jc w:val="center"/>
              <w:rPr>
                <w:color w:val="000000"/>
                <w:sz w:val="22"/>
                <w:szCs w:val="22"/>
              </w:rPr>
            </w:pPr>
            <w:r w:rsidRPr="00752F14">
              <w:rPr>
                <w:color w:val="000000"/>
                <w:sz w:val="22"/>
                <w:szCs w:val="22"/>
              </w:rPr>
              <w:t xml:space="preserve">$1,800 </w:t>
            </w:r>
          </w:p>
        </w:tc>
        <w:tc>
          <w:tcPr>
            <w:tcW w:w="1260" w:type="dxa"/>
            <w:tcBorders>
              <w:top w:val="nil"/>
              <w:left w:val="nil"/>
              <w:bottom w:val="nil"/>
              <w:right w:val="nil"/>
            </w:tcBorders>
            <w:noWrap/>
            <w:vAlign w:val="center"/>
            <w:hideMark/>
          </w:tcPr>
          <w:p w14:paraId="5C324E86" w14:textId="6A4E99F5" w:rsidR="006E3C41" w:rsidRPr="00752F14" w:rsidRDefault="006E3C41" w:rsidP="006E3C41">
            <w:pPr>
              <w:jc w:val="center"/>
              <w:rPr>
                <w:color w:val="000000"/>
                <w:sz w:val="22"/>
                <w:szCs w:val="22"/>
              </w:rPr>
            </w:pPr>
            <w:r w:rsidRPr="00752F14">
              <w:rPr>
                <w:color w:val="000000"/>
                <w:sz w:val="22"/>
                <w:szCs w:val="22"/>
              </w:rPr>
              <w:t>$</w:t>
            </w:r>
            <w:r w:rsidR="00763740">
              <w:rPr>
                <w:color w:val="000000"/>
                <w:sz w:val="22"/>
                <w:szCs w:val="22"/>
              </w:rPr>
              <w:t>8</w:t>
            </w:r>
            <w:r w:rsidRPr="00752F14">
              <w:rPr>
                <w:color w:val="000000"/>
                <w:sz w:val="22"/>
                <w:szCs w:val="22"/>
              </w:rPr>
              <w:t xml:space="preserve">4 </w:t>
            </w:r>
          </w:p>
        </w:tc>
      </w:tr>
      <w:tr w:rsidR="006E3C41" w:rsidRPr="006E3C41" w14:paraId="089579BD" w14:textId="77777777" w:rsidTr="007D0FCB">
        <w:trPr>
          <w:trHeight w:val="420"/>
        </w:trPr>
        <w:tc>
          <w:tcPr>
            <w:tcW w:w="3050" w:type="dxa"/>
            <w:tcBorders>
              <w:top w:val="nil"/>
              <w:left w:val="nil"/>
              <w:bottom w:val="nil"/>
              <w:right w:val="nil"/>
            </w:tcBorders>
            <w:vAlign w:val="center"/>
            <w:hideMark/>
          </w:tcPr>
          <w:p w14:paraId="16070B62" w14:textId="77777777" w:rsidR="006E3C41" w:rsidRPr="00752F14" w:rsidRDefault="006E3C41" w:rsidP="006E3C41">
            <w:pPr>
              <w:rPr>
                <w:b/>
                <w:bCs/>
                <w:color w:val="000000"/>
                <w:sz w:val="22"/>
                <w:szCs w:val="22"/>
              </w:rPr>
            </w:pPr>
            <w:r w:rsidRPr="00752F14">
              <w:rPr>
                <w:b/>
                <w:bCs/>
                <w:color w:val="000000"/>
                <w:sz w:val="22"/>
                <w:szCs w:val="22"/>
              </w:rPr>
              <w:t>Purdue University</w:t>
            </w:r>
            <w:r w:rsidRPr="00752F14">
              <w:rPr>
                <w:b/>
                <w:bCs/>
                <w:color w:val="000000"/>
                <w:sz w:val="22"/>
                <w:szCs w:val="22"/>
                <w:vertAlign w:val="superscript"/>
              </w:rPr>
              <w:t>3</w:t>
            </w:r>
          </w:p>
        </w:tc>
        <w:tc>
          <w:tcPr>
            <w:tcW w:w="1800" w:type="dxa"/>
            <w:tcBorders>
              <w:top w:val="nil"/>
              <w:left w:val="nil"/>
              <w:bottom w:val="nil"/>
              <w:right w:val="nil"/>
            </w:tcBorders>
            <w:vAlign w:val="center"/>
            <w:hideMark/>
          </w:tcPr>
          <w:p w14:paraId="274C6BF8" w14:textId="77777777" w:rsidR="006E3C41" w:rsidRPr="00752F14" w:rsidRDefault="006E3C41" w:rsidP="006E3C41">
            <w:pPr>
              <w:jc w:val="center"/>
              <w:rPr>
                <w:color w:val="000000"/>
                <w:sz w:val="22"/>
                <w:szCs w:val="22"/>
              </w:rPr>
            </w:pPr>
            <w:r w:rsidRPr="00752F14">
              <w:rPr>
                <w:color w:val="000000"/>
                <w:sz w:val="22"/>
                <w:szCs w:val="22"/>
              </w:rPr>
              <w:t>$718 per semester</w:t>
            </w:r>
          </w:p>
        </w:tc>
        <w:tc>
          <w:tcPr>
            <w:tcW w:w="1890" w:type="dxa"/>
            <w:tcBorders>
              <w:top w:val="nil"/>
              <w:left w:val="nil"/>
              <w:bottom w:val="nil"/>
              <w:right w:val="nil"/>
            </w:tcBorders>
            <w:vAlign w:val="center"/>
            <w:hideMark/>
          </w:tcPr>
          <w:p w14:paraId="39D6D9DE" w14:textId="77777777" w:rsidR="006E3C41" w:rsidRPr="00752F14" w:rsidRDefault="006E3C41" w:rsidP="006E3C41">
            <w:pPr>
              <w:jc w:val="center"/>
              <w:rPr>
                <w:color w:val="000000"/>
                <w:sz w:val="22"/>
                <w:szCs w:val="22"/>
              </w:rPr>
            </w:pPr>
            <w:r w:rsidRPr="00752F14">
              <w:rPr>
                <w:color w:val="000000"/>
                <w:sz w:val="22"/>
                <w:szCs w:val="22"/>
              </w:rPr>
              <w:t>$718 per semester</w:t>
            </w:r>
          </w:p>
        </w:tc>
        <w:tc>
          <w:tcPr>
            <w:tcW w:w="1710" w:type="dxa"/>
            <w:tcBorders>
              <w:top w:val="nil"/>
              <w:left w:val="nil"/>
              <w:bottom w:val="nil"/>
              <w:right w:val="nil"/>
            </w:tcBorders>
            <w:noWrap/>
            <w:vAlign w:val="center"/>
            <w:hideMark/>
          </w:tcPr>
          <w:p w14:paraId="0270EC26" w14:textId="77777777" w:rsidR="006E3C41" w:rsidRPr="00752F14" w:rsidRDefault="006E3C41" w:rsidP="006E3C41">
            <w:pPr>
              <w:jc w:val="center"/>
              <w:rPr>
                <w:color w:val="000000"/>
                <w:sz w:val="22"/>
                <w:szCs w:val="22"/>
              </w:rPr>
            </w:pPr>
            <w:r w:rsidRPr="00752F14">
              <w:rPr>
                <w:color w:val="000000"/>
                <w:sz w:val="22"/>
                <w:szCs w:val="22"/>
              </w:rPr>
              <w:t xml:space="preserve">$3,590 </w:t>
            </w:r>
          </w:p>
        </w:tc>
        <w:tc>
          <w:tcPr>
            <w:tcW w:w="1260" w:type="dxa"/>
            <w:tcBorders>
              <w:top w:val="nil"/>
              <w:left w:val="nil"/>
              <w:bottom w:val="nil"/>
              <w:right w:val="nil"/>
            </w:tcBorders>
            <w:noWrap/>
            <w:vAlign w:val="center"/>
            <w:hideMark/>
          </w:tcPr>
          <w:p w14:paraId="412020C2" w14:textId="77777777" w:rsidR="006E3C41" w:rsidRPr="00752F14" w:rsidRDefault="006E3C41" w:rsidP="006E3C41">
            <w:pPr>
              <w:jc w:val="center"/>
              <w:rPr>
                <w:color w:val="000000"/>
                <w:sz w:val="22"/>
                <w:szCs w:val="22"/>
              </w:rPr>
            </w:pPr>
            <w:r w:rsidRPr="00752F14">
              <w:rPr>
                <w:color w:val="000000"/>
                <w:sz w:val="22"/>
                <w:szCs w:val="22"/>
              </w:rPr>
              <w:t xml:space="preserve">$3,590 </w:t>
            </w:r>
          </w:p>
        </w:tc>
      </w:tr>
      <w:tr w:rsidR="006E3C41" w:rsidRPr="006E3C41" w14:paraId="7B530C04" w14:textId="77777777" w:rsidTr="007D0FCB">
        <w:trPr>
          <w:trHeight w:val="680"/>
        </w:trPr>
        <w:tc>
          <w:tcPr>
            <w:tcW w:w="3050" w:type="dxa"/>
            <w:tcBorders>
              <w:top w:val="nil"/>
              <w:left w:val="nil"/>
              <w:bottom w:val="nil"/>
              <w:right w:val="nil"/>
            </w:tcBorders>
            <w:shd w:val="clear" w:color="000000" w:fill="FFFF00"/>
            <w:vAlign w:val="center"/>
            <w:hideMark/>
          </w:tcPr>
          <w:p w14:paraId="696C082C" w14:textId="77777777" w:rsidR="006E3C41" w:rsidRPr="00752F14" w:rsidRDefault="006E3C41" w:rsidP="006E3C41">
            <w:pPr>
              <w:rPr>
                <w:b/>
                <w:bCs/>
                <w:color w:val="000000"/>
                <w:sz w:val="22"/>
                <w:szCs w:val="22"/>
              </w:rPr>
            </w:pPr>
            <w:r w:rsidRPr="00752F14">
              <w:rPr>
                <w:b/>
                <w:bCs/>
                <w:color w:val="000000"/>
                <w:sz w:val="22"/>
                <w:szCs w:val="22"/>
              </w:rPr>
              <w:t>University of Oregon (Proposed)</w:t>
            </w:r>
          </w:p>
        </w:tc>
        <w:tc>
          <w:tcPr>
            <w:tcW w:w="1800" w:type="dxa"/>
            <w:tcBorders>
              <w:top w:val="nil"/>
              <w:left w:val="nil"/>
              <w:bottom w:val="nil"/>
              <w:right w:val="nil"/>
            </w:tcBorders>
            <w:shd w:val="clear" w:color="000000" w:fill="FFFF00"/>
            <w:vAlign w:val="center"/>
            <w:hideMark/>
          </w:tcPr>
          <w:p w14:paraId="708268E2" w14:textId="77777777" w:rsidR="006E3C41" w:rsidRPr="00752F14" w:rsidRDefault="006E3C41" w:rsidP="006E3C41">
            <w:pPr>
              <w:jc w:val="center"/>
              <w:rPr>
                <w:color w:val="000000"/>
                <w:sz w:val="22"/>
                <w:szCs w:val="22"/>
              </w:rPr>
            </w:pPr>
            <w:r w:rsidRPr="00752F14">
              <w:rPr>
                <w:color w:val="000000"/>
                <w:sz w:val="22"/>
                <w:szCs w:val="22"/>
              </w:rPr>
              <w:t>$50 per business course credit</w:t>
            </w:r>
          </w:p>
        </w:tc>
        <w:tc>
          <w:tcPr>
            <w:tcW w:w="1890" w:type="dxa"/>
            <w:tcBorders>
              <w:top w:val="nil"/>
              <w:left w:val="nil"/>
              <w:bottom w:val="nil"/>
              <w:right w:val="nil"/>
            </w:tcBorders>
            <w:shd w:val="clear" w:color="000000" w:fill="FFFF00"/>
            <w:vAlign w:val="center"/>
            <w:hideMark/>
          </w:tcPr>
          <w:p w14:paraId="55FE8B54" w14:textId="77777777" w:rsidR="006E3C41" w:rsidRPr="00752F14" w:rsidRDefault="006E3C41" w:rsidP="006E3C41">
            <w:pPr>
              <w:jc w:val="center"/>
              <w:rPr>
                <w:color w:val="000000"/>
                <w:sz w:val="22"/>
                <w:szCs w:val="22"/>
              </w:rPr>
            </w:pPr>
            <w:r w:rsidRPr="00752F14">
              <w:rPr>
                <w:color w:val="000000"/>
                <w:sz w:val="22"/>
                <w:szCs w:val="22"/>
              </w:rPr>
              <w:t>$50 per business course credit</w:t>
            </w:r>
          </w:p>
        </w:tc>
        <w:tc>
          <w:tcPr>
            <w:tcW w:w="1710" w:type="dxa"/>
            <w:tcBorders>
              <w:top w:val="nil"/>
              <w:left w:val="nil"/>
              <w:bottom w:val="nil"/>
              <w:right w:val="nil"/>
            </w:tcBorders>
            <w:shd w:val="clear" w:color="000000" w:fill="FFFF00"/>
            <w:noWrap/>
            <w:vAlign w:val="center"/>
            <w:hideMark/>
          </w:tcPr>
          <w:p w14:paraId="2133FEA4" w14:textId="77777777" w:rsidR="006E3C41" w:rsidRPr="00752F14" w:rsidRDefault="006E3C41" w:rsidP="006E3C41">
            <w:pPr>
              <w:jc w:val="center"/>
              <w:rPr>
                <w:color w:val="000000"/>
                <w:sz w:val="22"/>
                <w:szCs w:val="22"/>
              </w:rPr>
            </w:pPr>
            <w:r w:rsidRPr="00752F14">
              <w:rPr>
                <w:color w:val="000000"/>
                <w:sz w:val="22"/>
                <w:szCs w:val="22"/>
              </w:rPr>
              <w:t xml:space="preserve">$4,400 </w:t>
            </w:r>
          </w:p>
        </w:tc>
        <w:tc>
          <w:tcPr>
            <w:tcW w:w="1260" w:type="dxa"/>
            <w:tcBorders>
              <w:top w:val="nil"/>
              <w:left w:val="nil"/>
              <w:bottom w:val="nil"/>
              <w:right w:val="nil"/>
            </w:tcBorders>
            <w:shd w:val="clear" w:color="000000" w:fill="FFFF00"/>
            <w:noWrap/>
            <w:vAlign w:val="center"/>
            <w:hideMark/>
          </w:tcPr>
          <w:p w14:paraId="62BCAD59" w14:textId="77777777" w:rsidR="006E3C41" w:rsidRPr="00752F14" w:rsidRDefault="006E3C41" w:rsidP="006E3C41">
            <w:pPr>
              <w:jc w:val="center"/>
              <w:rPr>
                <w:color w:val="000000"/>
                <w:sz w:val="22"/>
                <w:szCs w:val="22"/>
              </w:rPr>
            </w:pPr>
            <w:r w:rsidRPr="00752F14">
              <w:rPr>
                <w:color w:val="000000"/>
                <w:sz w:val="22"/>
                <w:szCs w:val="22"/>
              </w:rPr>
              <w:t xml:space="preserve">$4,400 </w:t>
            </w:r>
          </w:p>
        </w:tc>
      </w:tr>
      <w:tr w:rsidR="006E3C41" w:rsidRPr="006E3C41" w14:paraId="47533369" w14:textId="77777777" w:rsidTr="007D0FCB">
        <w:trPr>
          <w:trHeight w:val="680"/>
        </w:trPr>
        <w:tc>
          <w:tcPr>
            <w:tcW w:w="3050" w:type="dxa"/>
            <w:tcBorders>
              <w:top w:val="nil"/>
              <w:left w:val="nil"/>
              <w:bottom w:val="nil"/>
              <w:right w:val="nil"/>
            </w:tcBorders>
            <w:vAlign w:val="center"/>
            <w:hideMark/>
          </w:tcPr>
          <w:p w14:paraId="3C00E9BE" w14:textId="77777777" w:rsidR="006E3C41" w:rsidRPr="00752F14" w:rsidRDefault="006E3C41" w:rsidP="006E3C41">
            <w:pPr>
              <w:rPr>
                <w:b/>
                <w:bCs/>
                <w:color w:val="000000"/>
                <w:sz w:val="22"/>
                <w:szCs w:val="22"/>
              </w:rPr>
            </w:pPr>
            <w:r w:rsidRPr="00752F14">
              <w:rPr>
                <w:b/>
                <w:bCs/>
                <w:color w:val="000000"/>
                <w:sz w:val="22"/>
                <w:szCs w:val="22"/>
              </w:rPr>
              <w:t>University of Nebraska</w:t>
            </w:r>
            <w:r w:rsidRPr="00752F14">
              <w:rPr>
                <w:b/>
                <w:bCs/>
                <w:color w:val="000000"/>
                <w:sz w:val="22"/>
                <w:szCs w:val="22"/>
                <w:vertAlign w:val="superscript"/>
              </w:rPr>
              <w:t>4</w:t>
            </w:r>
          </w:p>
        </w:tc>
        <w:tc>
          <w:tcPr>
            <w:tcW w:w="1800" w:type="dxa"/>
            <w:tcBorders>
              <w:top w:val="nil"/>
              <w:left w:val="nil"/>
              <w:bottom w:val="nil"/>
              <w:right w:val="nil"/>
            </w:tcBorders>
            <w:vAlign w:val="center"/>
            <w:hideMark/>
          </w:tcPr>
          <w:p w14:paraId="0A13F445" w14:textId="77777777" w:rsidR="006E3C41" w:rsidRPr="00752F14" w:rsidRDefault="006E3C41" w:rsidP="006E3C41">
            <w:pPr>
              <w:jc w:val="center"/>
              <w:rPr>
                <w:color w:val="000000"/>
                <w:sz w:val="22"/>
                <w:szCs w:val="22"/>
              </w:rPr>
            </w:pPr>
            <w:r w:rsidRPr="00752F14">
              <w:rPr>
                <w:color w:val="000000"/>
                <w:sz w:val="22"/>
                <w:szCs w:val="22"/>
              </w:rPr>
              <w:t>$69 per business course credit</w:t>
            </w:r>
          </w:p>
        </w:tc>
        <w:tc>
          <w:tcPr>
            <w:tcW w:w="1890" w:type="dxa"/>
            <w:tcBorders>
              <w:top w:val="nil"/>
              <w:left w:val="nil"/>
              <w:bottom w:val="nil"/>
              <w:right w:val="nil"/>
            </w:tcBorders>
            <w:vAlign w:val="center"/>
            <w:hideMark/>
          </w:tcPr>
          <w:p w14:paraId="3A8EB12A" w14:textId="77777777" w:rsidR="006E3C41" w:rsidRPr="00752F14" w:rsidRDefault="006E3C41" w:rsidP="006E3C41">
            <w:pPr>
              <w:jc w:val="center"/>
              <w:rPr>
                <w:color w:val="000000"/>
                <w:sz w:val="22"/>
                <w:szCs w:val="22"/>
              </w:rPr>
            </w:pPr>
            <w:r w:rsidRPr="00752F14">
              <w:rPr>
                <w:color w:val="000000"/>
                <w:sz w:val="22"/>
                <w:szCs w:val="22"/>
              </w:rPr>
              <w:t>$154 per business course</w:t>
            </w:r>
          </w:p>
        </w:tc>
        <w:tc>
          <w:tcPr>
            <w:tcW w:w="1710" w:type="dxa"/>
            <w:tcBorders>
              <w:top w:val="nil"/>
              <w:left w:val="nil"/>
              <w:bottom w:val="nil"/>
              <w:right w:val="nil"/>
            </w:tcBorders>
            <w:noWrap/>
            <w:vAlign w:val="center"/>
            <w:hideMark/>
          </w:tcPr>
          <w:p w14:paraId="0F2F77A5" w14:textId="77777777" w:rsidR="006E3C41" w:rsidRPr="00752F14" w:rsidRDefault="006E3C41" w:rsidP="006E3C41">
            <w:pPr>
              <w:jc w:val="center"/>
              <w:rPr>
                <w:color w:val="000000"/>
                <w:sz w:val="22"/>
                <w:szCs w:val="22"/>
              </w:rPr>
            </w:pPr>
            <w:r w:rsidRPr="00752F14">
              <w:rPr>
                <w:color w:val="000000"/>
                <w:sz w:val="22"/>
                <w:szCs w:val="22"/>
              </w:rPr>
              <w:t xml:space="preserve">$5,037 </w:t>
            </w:r>
          </w:p>
        </w:tc>
        <w:tc>
          <w:tcPr>
            <w:tcW w:w="1260" w:type="dxa"/>
            <w:tcBorders>
              <w:top w:val="nil"/>
              <w:left w:val="nil"/>
              <w:bottom w:val="nil"/>
              <w:right w:val="nil"/>
            </w:tcBorders>
            <w:noWrap/>
            <w:vAlign w:val="center"/>
            <w:hideMark/>
          </w:tcPr>
          <w:p w14:paraId="2B0DB12F" w14:textId="77777777" w:rsidR="006E3C41" w:rsidRPr="00752F14" w:rsidRDefault="006E3C41" w:rsidP="006E3C41">
            <w:pPr>
              <w:jc w:val="center"/>
              <w:rPr>
                <w:color w:val="000000"/>
                <w:sz w:val="22"/>
                <w:szCs w:val="22"/>
              </w:rPr>
            </w:pPr>
            <w:r w:rsidRPr="00752F14">
              <w:rPr>
                <w:color w:val="000000"/>
                <w:sz w:val="22"/>
                <w:szCs w:val="22"/>
              </w:rPr>
              <w:t xml:space="preserve">$11,242 </w:t>
            </w:r>
          </w:p>
        </w:tc>
      </w:tr>
      <w:tr w:rsidR="006E3C41" w:rsidRPr="006E3C41" w14:paraId="3FB20B30" w14:textId="77777777" w:rsidTr="007D0FCB">
        <w:trPr>
          <w:trHeight w:val="420"/>
        </w:trPr>
        <w:tc>
          <w:tcPr>
            <w:tcW w:w="3050" w:type="dxa"/>
            <w:tcBorders>
              <w:top w:val="nil"/>
              <w:left w:val="nil"/>
              <w:bottom w:val="nil"/>
              <w:right w:val="nil"/>
            </w:tcBorders>
            <w:vAlign w:val="center"/>
            <w:hideMark/>
          </w:tcPr>
          <w:p w14:paraId="5DE82D17" w14:textId="4DF5174C" w:rsidR="006E3C41" w:rsidRPr="00752F14" w:rsidRDefault="003A0703" w:rsidP="006E3C41">
            <w:pPr>
              <w:rPr>
                <w:b/>
                <w:bCs/>
                <w:color w:val="000000"/>
                <w:sz w:val="22"/>
                <w:szCs w:val="22"/>
              </w:rPr>
            </w:pPr>
            <w:r w:rsidRPr="00752F14">
              <w:rPr>
                <w:b/>
                <w:bCs/>
                <w:color w:val="000000"/>
                <w:sz w:val="22"/>
                <w:szCs w:val="22"/>
              </w:rPr>
              <w:t>Indiana University</w:t>
            </w:r>
          </w:p>
        </w:tc>
        <w:tc>
          <w:tcPr>
            <w:tcW w:w="1800" w:type="dxa"/>
            <w:tcBorders>
              <w:top w:val="nil"/>
              <w:left w:val="nil"/>
              <w:bottom w:val="nil"/>
              <w:right w:val="nil"/>
            </w:tcBorders>
            <w:vAlign w:val="center"/>
            <w:hideMark/>
          </w:tcPr>
          <w:p w14:paraId="2F16C56A" w14:textId="77777777" w:rsidR="006E3C41" w:rsidRPr="00752F14" w:rsidRDefault="006E3C41" w:rsidP="006E3C41">
            <w:pPr>
              <w:rPr>
                <w:b/>
                <w:bCs/>
                <w:color w:val="000000"/>
                <w:sz w:val="22"/>
                <w:szCs w:val="22"/>
              </w:rPr>
            </w:pPr>
          </w:p>
        </w:tc>
        <w:tc>
          <w:tcPr>
            <w:tcW w:w="1890" w:type="dxa"/>
            <w:tcBorders>
              <w:top w:val="nil"/>
              <w:left w:val="nil"/>
              <w:bottom w:val="nil"/>
              <w:right w:val="nil"/>
            </w:tcBorders>
            <w:vAlign w:val="center"/>
            <w:hideMark/>
          </w:tcPr>
          <w:p w14:paraId="17A0493B" w14:textId="77777777" w:rsidR="006E3C41" w:rsidRPr="00752F14" w:rsidRDefault="006E3C41" w:rsidP="006E3C41">
            <w:pPr>
              <w:jc w:val="center"/>
              <w:rPr>
                <w:sz w:val="22"/>
                <w:szCs w:val="22"/>
              </w:rPr>
            </w:pPr>
          </w:p>
        </w:tc>
        <w:tc>
          <w:tcPr>
            <w:tcW w:w="1710" w:type="dxa"/>
            <w:tcBorders>
              <w:top w:val="nil"/>
              <w:left w:val="nil"/>
              <w:bottom w:val="nil"/>
              <w:right w:val="nil"/>
            </w:tcBorders>
            <w:noWrap/>
            <w:vAlign w:val="center"/>
            <w:hideMark/>
          </w:tcPr>
          <w:p w14:paraId="7B26081D" w14:textId="77777777" w:rsidR="006E3C41" w:rsidRPr="00752F14" w:rsidRDefault="006E3C41" w:rsidP="006E3C41">
            <w:pPr>
              <w:jc w:val="center"/>
              <w:rPr>
                <w:color w:val="000000"/>
                <w:sz w:val="22"/>
                <w:szCs w:val="22"/>
              </w:rPr>
            </w:pPr>
            <w:r w:rsidRPr="00752F14">
              <w:rPr>
                <w:color w:val="000000"/>
                <w:sz w:val="22"/>
                <w:szCs w:val="22"/>
              </w:rPr>
              <w:t xml:space="preserve">$5,038 </w:t>
            </w:r>
          </w:p>
        </w:tc>
        <w:tc>
          <w:tcPr>
            <w:tcW w:w="1260" w:type="dxa"/>
            <w:tcBorders>
              <w:top w:val="nil"/>
              <w:left w:val="nil"/>
              <w:bottom w:val="nil"/>
              <w:right w:val="nil"/>
            </w:tcBorders>
            <w:noWrap/>
            <w:vAlign w:val="center"/>
            <w:hideMark/>
          </w:tcPr>
          <w:p w14:paraId="7D123CC3" w14:textId="77777777" w:rsidR="006E3C41" w:rsidRPr="00752F14" w:rsidRDefault="006E3C41" w:rsidP="006E3C41">
            <w:pPr>
              <w:jc w:val="center"/>
              <w:rPr>
                <w:color w:val="000000"/>
                <w:sz w:val="22"/>
                <w:szCs w:val="22"/>
              </w:rPr>
            </w:pPr>
            <w:r w:rsidRPr="00752F14">
              <w:rPr>
                <w:color w:val="000000"/>
                <w:sz w:val="22"/>
                <w:szCs w:val="22"/>
              </w:rPr>
              <w:t xml:space="preserve">$5,038 </w:t>
            </w:r>
          </w:p>
        </w:tc>
      </w:tr>
      <w:tr w:rsidR="006E3C41" w:rsidRPr="006E3C41" w14:paraId="201145E5" w14:textId="77777777" w:rsidTr="007D0FCB">
        <w:trPr>
          <w:trHeight w:val="420"/>
        </w:trPr>
        <w:tc>
          <w:tcPr>
            <w:tcW w:w="3050" w:type="dxa"/>
            <w:tcBorders>
              <w:top w:val="nil"/>
              <w:left w:val="nil"/>
              <w:bottom w:val="nil"/>
              <w:right w:val="nil"/>
            </w:tcBorders>
            <w:vAlign w:val="center"/>
            <w:hideMark/>
          </w:tcPr>
          <w:p w14:paraId="2C63FE24" w14:textId="77777777" w:rsidR="006E3C41" w:rsidRPr="00752F14" w:rsidRDefault="006E3C41" w:rsidP="006E3C41">
            <w:pPr>
              <w:rPr>
                <w:i/>
                <w:iCs/>
                <w:color w:val="000000"/>
                <w:sz w:val="22"/>
                <w:szCs w:val="22"/>
              </w:rPr>
            </w:pPr>
            <w:r w:rsidRPr="00752F14">
              <w:rPr>
                <w:i/>
                <w:iCs/>
                <w:color w:val="000000"/>
                <w:sz w:val="22"/>
                <w:szCs w:val="22"/>
              </w:rPr>
              <w:t xml:space="preserve">   Pre-business</w:t>
            </w:r>
          </w:p>
        </w:tc>
        <w:tc>
          <w:tcPr>
            <w:tcW w:w="1800" w:type="dxa"/>
            <w:tcBorders>
              <w:top w:val="nil"/>
              <w:left w:val="nil"/>
              <w:bottom w:val="nil"/>
              <w:right w:val="nil"/>
            </w:tcBorders>
            <w:vAlign w:val="center"/>
            <w:hideMark/>
          </w:tcPr>
          <w:p w14:paraId="13196C6B" w14:textId="77777777" w:rsidR="006E3C41" w:rsidRPr="00752F14" w:rsidRDefault="006E3C41" w:rsidP="006E3C41">
            <w:pPr>
              <w:jc w:val="center"/>
              <w:rPr>
                <w:color w:val="000000"/>
                <w:sz w:val="22"/>
                <w:szCs w:val="22"/>
              </w:rPr>
            </w:pPr>
            <w:r w:rsidRPr="00752F14">
              <w:rPr>
                <w:color w:val="000000"/>
                <w:sz w:val="22"/>
                <w:szCs w:val="22"/>
              </w:rPr>
              <w:t>$775 per year</w:t>
            </w:r>
          </w:p>
        </w:tc>
        <w:tc>
          <w:tcPr>
            <w:tcW w:w="1890" w:type="dxa"/>
            <w:tcBorders>
              <w:top w:val="nil"/>
              <w:left w:val="nil"/>
              <w:bottom w:val="nil"/>
              <w:right w:val="nil"/>
            </w:tcBorders>
            <w:vAlign w:val="center"/>
            <w:hideMark/>
          </w:tcPr>
          <w:p w14:paraId="51610755" w14:textId="77777777" w:rsidR="006E3C41" w:rsidRPr="00752F14" w:rsidRDefault="006E3C41" w:rsidP="006E3C41">
            <w:pPr>
              <w:jc w:val="center"/>
              <w:rPr>
                <w:color w:val="000000"/>
                <w:sz w:val="22"/>
                <w:szCs w:val="22"/>
              </w:rPr>
            </w:pPr>
            <w:r w:rsidRPr="00752F14">
              <w:rPr>
                <w:color w:val="000000"/>
                <w:sz w:val="22"/>
                <w:szCs w:val="22"/>
              </w:rPr>
              <w:t>$775 per year</w:t>
            </w:r>
          </w:p>
        </w:tc>
        <w:tc>
          <w:tcPr>
            <w:tcW w:w="1710" w:type="dxa"/>
            <w:tcBorders>
              <w:top w:val="nil"/>
              <w:left w:val="nil"/>
              <w:bottom w:val="nil"/>
              <w:right w:val="nil"/>
            </w:tcBorders>
            <w:noWrap/>
            <w:vAlign w:val="center"/>
            <w:hideMark/>
          </w:tcPr>
          <w:p w14:paraId="12632624" w14:textId="77777777" w:rsidR="006E3C41" w:rsidRPr="00752F14" w:rsidRDefault="006E3C41" w:rsidP="006E3C41">
            <w:pPr>
              <w:jc w:val="center"/>
              <w:rPr>
                <w:color w:val="000000"/>
                <w:sz w:val="22"/>
                <w:szCs w:val="22"/>
              </w:rPr>
            </w:pPr>
          </w:p>
        </w:tc>
        <w:tc>
          <w:tcPr>
            <w:tcW w:w="1260" w:type="dxa"/>
            <w:tcBorders>
              <w:top w:val="nil"/>
              <w:left w:val="nil"/>
              <w:bottom w:val="nil"/>
              <w:right w:val="nil"/>
            </w:tcBorders>
            <w:noWrap/>
            <w:vAlign w:val="center"/>
            <w:hideMark/>
          </w:tcPr>
          <w:p w14:paraId="00BAF9E4" w14:textId="77777777" w:rsidR="006E3C41" w:rsidRPr="00752F14" w:rsidRDefault="006E3C41" w:rsidP="006E3C41">
            <w:pPr>
              <w:jc w:val="center"/>
              <w:rPr>
                <w:sz w:val="22"/>
                <w:szCs w:val="22"/>
              </w:rPr>
            </w:pPr>
          </w:p>
        </w:tc>
      </w:tr>
      <w:tr w:rsidR="006E3C41" w:rsidRPr="006E3C41" w14:paraId="7C4E7A74" w14:textId="77777777" w:rsidTr="007D0FCB">
        <w:trPr>
          <w:trHeight w:val="420"/>
        </w:trPr>
        <w:tc>
          <w:tcPr>
            <w:tcW w:w="3050" w:type="dxa"/>
            <w:tcBorders>
              <w:top w:val="nil"/>
              <w:left w:val="nil"/>
              <w:bottom w:val="nil"/>
              <w:right w:val="nil"/>
            </w:tcBorders>
            <w:vAlign w:val="center"/>
            <w:hideMark/>
          </w:tcPr>
          <w:p w14:paraId="51B32028" w14:textId="77777777" w:rsidR="006E3C41" w:rsidRPr="00752F14" w:rsidRDefault="006E3C41" w:rsidP="006E3C41">
            <w:pPr>
              <w:rPr>
                <w:i/>
                <w:iCs/>
                <w:color w:val="000000"/>
                <w:sz w:val="22"/>
                <w:szCs w:val="22"/>
              </w:rPr>
            </w:pPr>
            <w:r w:rsidRPr="00752F14">
              <w:rPr>
                <w:i/>
                <w:iCs/>
                <w:color w:val="000000"/>
                <w:sz w:val="22"/>
                <w:szCs w:val="22"/>
              </w:rPr>
              <w:t xml:space="preserve">   Business</w:t>
            </w:r>
          </w:p>
        </w:tc>
        <w:tc>
          <w:tcPr>
            <w:tcW w:w="1800" w:type="dxa"/>
            <w:tcBorders>
              <w:top w:val="nil"/>
              <w:left w:val="nil"/>
              <w:bottom w:val="nil"/>
              <w:right w:val="nil"/>
            </w:tcBorders>
            <w:vAlign w:val="center"/>
            <w:hideMark/>
          </w:tcPr>
          <w:p w14:paraId="5FE58C30" w14:textId="2E61CDDE" w:rsidR="006E3C41" w:rsidRPr="00752F14" w:rsidRDefault="006E3C41" w:rsidP="006E3C41">
            <w:pPr>
              <w:jc w:val="center"/>
              <w:rPr>
                <w:color w:val="000000"/>
                <w:sz w:val="22"/>
                <w:szCs w:val="22"/>
              </w:rPr>
            </w:pPr>
            <w:r w:rsidRPr="00752F14">
              <w:rPr>
                <w:color w:val="000000"/>
                <w:sz w:val="22"/>
                <w:szCs w:val="22"/>
              </w:rPr>
              <w:t>$1</w:t>
            </w:r>
            <w:r w:rsidR="00664679">
              <w:rPr>
                <w:color w:val="000000"/>
                <w:sz w:val="22"/>
                <w:szCs w:val="22"/>
              </w:rPr>
              <w:t>,</w:t>
            </w:r>
            <w:r w:rsidRPr="00752F14">
              <w:rPr>
                <w:color w:val="000000"/>
                <w:sz w:val="22"/>
                <w:szCs w:val="22"/>
              </w:rPr>
              <w:t>550 per year</w:t>
            </w:r>
          </w:p>
        </w:tc>
        <w:tc>
          <w:tcPr>
            <w:tcW w:w="1890" w:type="dxa"/>
            <w:tcBorders>
              <w:top w:val="nil"/>
              <w:left w:val="nil"/>
              <w:bottom w:val="nil"/>
              <w:right w:val="nil"/>
            </w:tcBorders>
            <w:vAlign w:val="center"/>
            <w:hideMark/>
          </w:tcPr>
          <w:p w14:paraId="043FF405" w14:textId="4341AAF4" w:rsidR="006E3C41" w:rsidRPr="00752F14" w:rsidRDefault="006E3C41" w:rsidP="006E3C41">
            <w:pPr>
              <w:jc w:val="center"/>
              <w:rPr>
                <w:color w:val="000000"/>
                <w:sz w:val="22"/>
                <w:szCs w:val="22"/>
              </w:rPr>
            </w:pPr>
            <w:r w:rsidRPr="00752F14">
              <w:rPr>
                <w:color w:val="000000"/>
                <w:sz w:val="22"/>
                <w:szCs w:val="22"/>
              </w:rPr>
              <w:t>$1</w:t>
            </w:r>
            <w:r w:rsidR="00664679">
              <w:rPr>
                <w:color w:val="000000"/>
                <w:sz w:val="22"/>
                <w:szCs w:val="22"/>
              </w:rPr>
              <w:t>,</w:t>
            </w:r>
            <w:r w:rsidRPr="00752F14">
              <w:rPr>
                <w:color w:val="000000"/>
                <w:sz w:val="22"/>
                <w:szCs w:val="22"/>
              </w:rPr>
              <w:t>550 per year</w:t>
            </w:r>
          </w:p>
        </w:tc>
        <w:tc>
          <w:tcPr>
            <w:tcW w:w="1710" w:type="dxa"/>
            <w:tcBorders>
              <w:top w:val="nil"/>
              <w:left w:val="nil"/>
              <w:bottom w:val="nil"/>
              <w:right w:val="nil"/>
            </w:tcBorders>
            <w:noWrap/>
            <w:vAlign w:val="center"/>
            <w:hideMark/>
          </w:tcPr>
          <w:p w14:paraId="24810A7B" w14:textId="77777777" w:rsidR="006E3C41" w:rsidRPr="00752F14" w:rsidRDefault="006E3C41" w:rsidP="006E3C41">
            <w:pPr>
              <w:jc w:val="center"/>
              <w:rPr>
                <w:color w:val="000000"/>
                <w:sz w:val="22"/>
                <w:szCs w:val="22"/>
              </w:rPr>
            </w:pPr>
          </w:p>
        </w:tc>
        <w:tc>
          <w:tcPr>
            <w:tcW w:w="1260" w:type="dxa"/>
            <w:tcBorders>
              <w:top w:val="nil"/>
              <w:left w:val="nil"/>
              <w:bottom w:val="nil"/>
              <w:right w:val="nil"/>
            </w:tcBorders>
            <w:noWrap/>
            <w:vAlign w:val="center"/>
            <w:hideMark/>
          </w:tcPr>
          <w:p w14:paraId="057BE009" w14:textId="77777777" w:rsidR="006E3C41" w:rsidRPr="00752F14" w:rsidRDefault="006E3C41" w:rsidP="006E3C41">
            <w:pPr>
              <w:jc w:val="center"/>
              <w:rPr>
                <w:sz w:val="22"/>
                <w:szCs w:val="22"/>
              </w:rPr>
            </w:pPr>
          </w:p>
        </w:tc>
      </w:tr>
      <w:tr w:rsidR="006E3C41" w:rsidRPr="006E3C41" w14:paraId="3D8AEA67" w14:textId="77777777" w:rsidTr="007D0FCB">
        <w:trPr>
          <w:trHeight w:val="680"/>
        </w:trPr>
        <w:tc>
          <w:tcPr>
            <w:tcW w:w="3050" w:type="dxa"/>
            <w:tcBorders>
              <w:top w:val="nil"/>
              <w:left w:val="nil"/>
              <w:bottom w:val="nil"/>
              <w:right w:val="nil"/>
            </w:tcBorders>
            <w:vAlign w:val="center"/>
            <w:hideMark/>
          </w:tcPr>
          <w:p w14:paraId="69BCB564" w14:textId="77777777" w:rsidR="006E3C41" w:rsidRPr="00752F14" w:rsidRDefault="006E3C41" w:rsidP="006E3C41">
            <w:pPr>
              <w:rPr>
                <w:b/>
                <w:bCs/>
                <w:color w:val="000000"/>
                <w:sz w:val="22"/>
                <w:szCs w:val="22"/>
              </w:rPr>
            </w:pPr>
            <w:r w:rsidRPr="00752F14">
              <w:rPr>
                <w:b/>
                <w:bCs/>
                <w:color w:val="000000"/>
                <w:sz w:val="22"/>
                <w:szCs w:val="22"/>
              </w:rPr>
              <w:lastRenderedPageBreak/>
              <w:t>University of Maryland</w:t>
            </w:r>
          </w:p>
        </w:tc>
        <w:tc>
          <w:tcPr>
            <w:tcW w:w="1800" w:type="dxa"/>
            <w:tcBorders>
              <w:top w:val="nil"/>
              <w:left w:val="nil"/>
              <w:bottom w:val="nil"/>
              <w:right w:val="nil"/>
            </w:tcBorders>
            <w:vAlign w:val="center"/>
            <w:hideMark/>
          </w:tcPr>
          <w:p w14:paraId="0787A3E9" w14:textId="61456CF2" w:rsidR="006E3C41" w:rsidRPr="00752F14" w:rsidRDefault="006E3C41" w:rsidP="006E3C41">
            <w:pPr>
              <w:jc w:val="center"/>
              <w:rPr>
                <w:color w:val="000000"/>
                <w:sz w:val="22"/>
                <w:szCs w:val="22"/>
              </w:rPr>
            </w:pPr>
            <w:r w:rsidRPr="00752F14">
              <w:rPr>
                <w:color w:val="000000"/>
                <w:sz w:val="22"/>
                <w:szCs w:val="22"/>
              </w:rPr>
              <w:t>$3</w:t>
            </w:r>
            <w:r w:rsidR="00664679">
              <w:rPr>
                <w:color w:val="000000"/>
                <w:sz w:val="22"/>
                <w:szCs w:val="22"/>
              </w:rPr>
              <w:t>,</w:t>
            </w:r>
            <w:r w:rsidRPr="00752F14">
              <w:rPr>
                <w:color w:val="000000"/>
                <w:sz w:val="22"/>
                <w:szCs w:val="22"/>
              </w:rPr>
              <w:t>214 per year for years 3 &amp; 4</w:t>
            </w:r>
          </w:p>
        </w:tc>
        <w:tc>
          <w:tcPr>
            <w:tcW w:w="1890" w:type="dxa"/>
            <w:tcBorders>
              <w:top w:val="nil"/>
              <w:left w:val="nil"/>
              <w:bottom w:val="nil"/>
              <w:right w:val="nil"/>
            </w:tcBorders>
            <w:vAlign w:val="center"/>
            <w:hideMark/>
          </w:tcPr>
          <w:p w14:paraId="79A7C84E" w14:textId="65BBB47F" w:rsidR="006E3C41" w:rsidRPr="00752F14" w:rsidRDefault="006E3C41" w:rsidP="006E3C41">
            <w:pPr>
              <w:jc w:val="center"/>
              <w:rPr>
                <w:color w:val="000000"/>
                <w:sz w:val="22"/>
                <w:szCs w:val="22"/>
              </w:rPr>
            </w:pPr>
            <w:r w:rsidRPr="00752F14">
              <w:rPr>
                <w:color w:val="000000"/>
                <w:sz w:val="22"/>
                <w:szCs w:val="22"/>
              </w:rPr>
              <w:t>$3</w:t>
            </w:r>
            <w:r w:rsidR="00664679">
              <w:rPr>
                <w:color w:val="000000"/>
                <w:sz w:val="22"/>
                <w:szCs w:val="22"/>
              </w:rPr>
              <w:t>,</w:t>
            </w:r>
            <w:r w:rsidRPr="00752F14">
              <w:rPr>
                <w:color w:val="000000"/>
                <w:sz w:val="22"/>
                <w:szCs w:val="22"/>
              </w:rPr>
              <w:t>214 per year for years 3 &amp; 4</w:t>
            </w:r>
          </w:p>
        </w:tc>
        <w:tc>
          <w:tcPr>
            <w:tcW w:w="1710" w:type="dxa"/>
            <w:tcBorders>
              <w:top w:val="nil"/>
              <w:left w:val="nil"/>
              <w:bottom w:val="nil"/>
              <w:right w:val="nil"/>
            </w:tcBorders>
            <w:noWrap/>
            <w:vAlign w:val="center"/>
            <w:hideMark/>
          </w:tcPr>
          <w:p w14:paraId="34BC4E0D" w14:textId="77777777" w:rsidR="006E3C41" w:rsidRPr="00752F14" w:rsidRDefault="006E3C41" w:rsidP="006E3C41">
            <w:pPr>
              <w:jc w:val="center"/>
              <w:rPr>
                <w:color w:val="000000"/>
                <w:sz w:val="22"/>
                <w:szCs w:val="22"/>
              </w:rPr>
            </w:pPr>
            <w:r w:rsidRPr="00752F14">
              <w:rPr>
                <w:color w:val="000000"/>
                <w:sz w:val="22"/>
                <w:szCs w:val="22"/>
              </w:rPr>
              <w:t xml:space="preserve">$6,428 </w:t>
            </w:r>
          </w:p>
        </w:tc>
        <w:tc>
          <w:tcPr>
            <w:tcW w:w="1260" w:type="dxa"/>
            <w:tcBorders>
              <w:top w:val="nil"/>
              <w:left w:val="nil"/>
              <w:bottom w:val="nil"/>
              <w:right w:val="nil"/>
            </w:tcBorders>
            <w:noWrap/>
            <w:vAlign w:val="center"/>
            <w:hideMark/>
          </w:tcPr>
          <w:p w14:paraId="370B09FC" w14:textId="77777777" w:rsidR="006E3C41" w:rsidRPr="00752F14" w:rsidRDefault="006E3C41" w:rsidP="006E3C41">
            <w:pPr>
              <w:jc w:val="center"/>
              <w:rPr>
                <w:color w:val="000000"/>
                <w:sz w:val="22"/>
                <w:szCs w:val="22"/>
              </w:rPr>
            </w:pPr>
            <w:r w:rsidRPr="00752F14">
              <w:rPr>
                <w:color w:val="000000"/>
                <w:sz w:val="22"/>
                <w:szCs w:val="22"/>
              </w:rPr>
              <w:t xml:space="preserve">$6,428 </w:t>
            </w:r>
          </w:p>
        </w:tc>
      </w:tr>
      <w:tr w:rsidR="006E3C41" w:rsidRPr="006E3C41" w14:paraId="796EE470" w14:textId="77777777" w:rsidTr="007D0FCB">
        <w:trPr>
          <w:trHeight w:val="420"/>
        </w:trPr>
        <w:tc>
          <w:tcPr>
            <w:tcW w:w="3050" w:type="dxa"/>
            <w:tcBorders>
              <w:top w:val="nil"/>
              <w:left w:val="nil"/>
              <w:bottom w:val="nil"/>
              <w:right w:val="nil"/>
            </w:tcBorders>
            <w:vAlign w:val="center"/>
            <w:hideMark/>
          </w:tcPr>
          <w:p w14:paraId="154F53CD" w14:textId="77777777" w:rsidR="006E3C41" w:rsidRPr="00752F14" w:rsidRDefault="006E3C41" w:rsidP="006E3C41">
            <w:pPr>
              <w:rPr>
                <w:b/>
                <w:bCs/>
                <w:color w:val="000000"/>
                <w:sz w:val="22"/>
                <w:szCs w:val="22"/>
              </w:rPr>
            </w:pPr>
            <w:r w:rsidRPr="00752F14">
              <w:rPr>
                <w:b/>
                <w:bCs/>
                <w:color w:val="000000"/>
                <w:sz w:val="22"/>
                <w:szCs w:val="22"/>
              </w:rPr>
              <w:t>Ohio State University</w:t>
            </w:r>
            <w:r w:rsidRPr="00752F14">
              <w:rPr>
                <w:b/>
                <w:bCs/>
                <w:color w:val="000000"/>
                <w:sz w:val="22"/>
                <w:szCs w:val="22"/>
                <w:vertAlign w:val="superscript"/>
              </w:rPr>
              <w:t>2</w:t>
            </w:r>
          </w:p>
        </w:tc>
        <w:tc>
          <w:tcPr>
            <w:tcW w:w="1800" w:type="dxa"/>
            <w:tcBorders>
              <w:top w:val="nil"/>
              <w:left w:val="nil"/>
              <w:bottom w:val="nil"/>
              <w:right w:val="nil"/>
            </w:tcBorders>
            <w:vAlign w:val="center"/>
            <w:hideMark/>
          </w:tcPr>
          <w:p w14:paraId="1F4EA5E8" w14:textId="77777777" w:rsidR="006E3C41" w:rsidRPr="00752F14" w:rsidRDefault="006E3C41" w:rsidP="006E3C41">
            <w:pPr>
              <w:jc w:val="center"/>
              <w:rPr>
                <w:color w:val="000000"/>
                <w:sz w:val="22"/>
                <w:szCs w:val="22"/>
              </w:rPr>
            </w:pPr>
            <w:r w:rsidRPr="00752F14">
              <w:rPr>
                <w:color w:val="000000"/>
                <w:sz w:val="22"/>
                <w:szCs w:val="22"/>
              </w:rPr>
              <w:t>$835 per semester</w:t>
            </w:r>
          </w:p>
        </w:tc>
        <w:tc>
          <w:tcPr>
            <w:tcW w:w="1890" w:type="dxa"/>
            <w:tcBorders>
              <w:top w:val="nil"/>
              <w:left w:val="nil"/>
              <w:bottom w:val="nil"/>
              <w:right w:val="nil"/>
            </w:tcBorders>
            <w:vAlign w:val="center"/>
            <w:hideMark/>
          </w:tcPr>
          <w:p w14:paraId="273F853B" w14:textId="77777777" w:rsidR="006E3C41" w:rsidRPr="00752F14" w:rsidRDefault="006E3C41" w:rsidP="006E3C41">
            <w:pPr>
              <w:jc w:val="center"/>
              <w:rPr>
                <w:color w:val="000000"/>
                <w:sz w:val="22"/>
                <w:szCs w:val="22"/>
              </w:rPr>
            </w:pPr>
            <w:r w:rsidRPr="00752F14">
              <w:rPr>
                <w:color w:val="000000"/>
                <w:sz w:val="22"/>
                <w:szCs w:val="22"/>
              </w:rPr>
              <w:t>$835 per semester</w:t>
            </w:r>
          </w:p>
        </w:tc>
        <w:tc>
          <w:tcPr>
            <w:tcW w:w="1710" w:type="dxa"/>
            <w:tcBorders>
              <w:top w:val="nil"/>
              <w:left w:val="nil"/>
              <w:bottom w:val="nil"/>
              <w:right w:val="nil"/>
            </w:tcBorders>
            <w:noWrap/>
            <w:vAlign w:val="center"/>
            <w:hideMark/>
          </w:tcPr>
          <w:p w14:paraId="4AE6FB01" w14:textId="77777777" w:rsidR="006E3C41" w:rsidRPr="00752F14" w:rsidRDefault="006E3C41" w:rsidP="006E3C41">
            <w:pPr>
              <w:jc w:val="center"/>
              <w:rPr>
                <w:color w:val="000000"/>
                <w:sz w:val="22"/>
                <w:szCs w:val="22"/>
              </w:rPr>
            </w:pPr>
            <w:r w:rsidRPr="00752F14">
              <w:rPr>
                <w:color w:val="000000"/>
                <w:sz w:val="22"/>
                <w:szCs w:val="22"/>
              </w:rPr>
              <w:t xml:space="preserve">$6,680 </w:t>
            </w:r>
          </w:p>
        </w:tc>
        <w:tc>
          <w:tcPr>
            <w:tcW w:w="1260" w:type="dxa"/>
            <w:tcBorders>
              <w:top w:val="nil"/>
              <w:left w:val="nil"/>
              <w:bottom w:val="nil"/>
              <w:right w:val="nil"/>
            </w:tcBorders>
            <w:noWrap/>
            <w:vAlign w:val="center"/>
            <w:hideMark/>
          </w:tcPr>
          <w:p w14:paraId="1A3835A6" w14:textId="77777777" w:rsidR="006E3C41" w:rsidRPr="00752F14" w:rsidRDefault="006E3C41" w:rsidP="006E3C41">
            <w:pPr>
              <w:jc w:val="center"/>
              <w:rPr>
                <w:color w:val="000000"/>
                <w:sz w:val="22"/>
                <w:szCs w:val="22"/>
              </w:rPr>
            </w:pPr>
            <w:r w:rsidRPr="00752F14">
              <w:rPr>
                <w:color w:val="000000"/>
                <w:sz w:val="22"/>
                <w:szCs w:val="22"/>
              </w:rPr>
              <w:t xml:space="preserve">$6,680 </w:t>
            </w:r>
          </w:p>
        </w:tc>
      </w:tr>
      <w:tr w:rsidR="006E3C41" w:rsidRPr="006E3C41" w14:paraId="0302076E" w14:textId="77777777" w:rsidTr="007D0FCB">
        <w:trPr>
          <w:trHeight w:val="680"/>
        </w:trPr>
        <w:tc>
          <w:tcPr>
            <w:tcW w:w="3050" w:type="dxa"/>
            <w:tcBorders>
              <w:top w:val="nil"/>
              <w:left w:val="nil"/>
              <w:bottom w:val="nil"/>
              <w:right w:val="nil"/>
            </w:tcBorders>
            <w:vAlign w:val="center"/>
            <w:hideMark/>
          </w:tcPr>
          <w:p w14:paraId="2E3E934D" w14:textId="77777777" w:rsidR="006E3C41" w:rsidRPr="00752F14" w:rsidRDefault="006E3C41" w:rsidP="006E3C41">
            <w:pPr>
              <w:rPr>
                <w:b/>
                <w:bCs/>
                <w:color w:val="000000"/>
                <w:sz w:val="22"/>
                <w:szCs w:val="22"/>
              </w:rPr>
            </w:pPr>
            <w:r w:rsidRPr="00752F14">
              <w:rPr>
                <w:b/>
                <w:bCs/>
                <w:color w:val="000000"/>
                <w:sz w:val="22"/>
                <w:szCs w:val="22"/>
              </w:rPr>
              <w:t>Pennsylvania State University</w:t>
            </w:r>
          </w:p>
        </w:tc>
        <w:tc>
          <w:tcPr>
            <w:tcW w:w="1800" w:type="dxa"/>
            <w:tcBorders>
              <w:top w:val="nil"/>
              <w:left w:val="nil"/>
              <w:bottom w:val="nil"/>
              <w:right w:val="nil"/>
            </w:tcBorders>
            <w:vAlign w:val="center"/>
            <w:hideMark/>
          </w:tcPr>
          <w:p w14:paraId="31A5B921" w14:textId="258D3837" w:rsidR="006E3C41" w:rsidRPr="00752F14" w:rsidRDefault="006E3C41" w:rsidP="006E3C41">
            <w:pPr>
              <w:jc w:val="center"/>
              <w:rPr>
                <w:color w:val="000000"/>
                <w:sz w:val="22"/>
                <w:szCs w:val="22"/>
              </w:rPr>
            </w:pPr>
            <w:r w:rsidRPr="00752F14">
              <w:rPr>
                <w:color w:val="000000"/>
                <w:sz w:val="22"/>
                <w:szCs w:val="22"/>
              </w:rPr>
              <w:t>$4</w:t>
            </w:r>
            <w:r w:rsidR="00664679">
              <w:rPr>
                <w:color w:val="000000"/>
                <w:sz w:val="22"/>
                <w:szCs w:val="22"/>
              </w:rPr>
              <w:t>,</w:t>
            </w:r>
            <w:r w:rsidRPr="00752F14">
              <w:rPr>
                <w:color w:val="000000"/>
                <w:sz w:val="22"/>
                <w:szCs w:val="22"/>
              </w:rPr>
              <w:t>714 per year for years 3 &amp; 4</w:t>
            </w:r>
          </w:p>
        </w:tc>
        <w:tc>
          <w:tcPr>
            <w:tcW w:w="1890" w:type="dxa"/>
            <w:tcBorders>
              <w:top w:val="nil"/>
              <w:left w:val="nil"/>
              <w:bottom w:val="nil"/>
              <w:right w:val="nil"/>
            </w:tcBorders>
            <w:vAlign w:val="center"/>
            <w:hideMark/>
          </w:tcPr>
          <w:p w14:paraId="3DBBFDC1" w14:textId="363FF28B" w:rsidR="006E3C41" w:rsidRPr="00752F14" w:rsidRDefault="006E3C41" w:rsidP="006E3C41">
            <w:pPr>
              <w:jc w:val="center"/>
              <w:rPr>
                <w:color w:val="000000"/>
                <w:sz w:val="22"/>
                <w:szCs w:val="22"/>
              </w:rPr>
            </w:pPr>
            <w:r w:rsidRPr="00752F14">
              <w:rPr>
                <w:color w:val="000000"/>
                <w:sz w:val="22"/>
                <w:szCs w:val="22"/>
              </w:rPr>
              <w:t>$5</w:t>
            </w:r>
            <w:r w:rsidR="00664679">
              <w:rPr>
                <w:color w:val="000000"/>
                <w:sz w:val="22"/>
                <w:szCs w:val="22"/>
              </w:rPr>
              <w:t>,</w:t>
            </w:r>
            <w:r w:rsidRPr="00752F14">
              <w:rPr>
                <w:color w:val="000000"/>
                <w:sz w:val="22"/>
                <w:szCs w:val="22"/>
              </w:rPr>
              <w:t>618 per year for years 3 &amp; 4</w:t>
            </w:r>
          </w:p>
        </w:tc>
        <w:tc>
          <w:tcPr>
            <w:tcW w:w="1710" w:type="dxa"/>
            <w:tcBorders>
              <w:top w:val="nil"/>
              <w:left w:val="nil"/>
              <w:bottom w:val="nil"/>
              <w:right w:val="nil"/>
            </w:tcBorders>
            <w:noWrap/>
            <w:vAlign w:val="center"/>
            <w:hideMark/>
          </w:tcPr>
          <w:p w14:paraId="7002BBFD" w14:textId="6B5E75CE" w:rsidR="006E3C41" w:rsidRPr="00752F14" w:rsidRDefault="006E3C41" w:rsidP="006E3C41">
            <w:pPr>
              <w:jc w:val="center"/>
              <w:rPr>
                <w:color w:val="000000"/>
                <w:sz w:val="22"/>
                <w:szCs w:val="22"/>
              </w:rPr>
            </w:pPr>
            <w:r w:rsidRPr="00752F14">
              <w:rPr>
                <w:color w:val="000000"/>
                <w:sz w:val="22"/>
                <w:szCs w:val="22"/>
              </w:rPr>
              <w:t>$</w:t>
            </w:r>
            <w:r w:rsidR="00763740">
              <w:rPr>
                <w:color w:val="000000"/>
                <w:sz w:val="22"/>
                <w:szCs w:val="22"/>
              </w:rPr>
              <w:t>9</w:t>
            </w:r>
            <w:r w:rsidRPr="00752F14">
              <w:rPr>
                <w:color w:val="000000"/>
                <w:sz w:val="22"/>
                <w:szCs w:val="22"/>
              </w:rPr>
              <w:t>,</w:t>
            </w:r>
            <w:r w:rsidR="00763740">
              <w:rPr>
                <w:color w:val="000000"/>
                <w:sz w:val="22"/>
                <w:szCs w:val="22"/>
              </w:rPr>
              <w:t>428</w:t>
            </w:r>
            <w:r w:rsidRPr="00752F14">
              <w:rPr>
                <w:color w:val="000000"/>
                <w:sz w:val="22"/>
                <w:szCs w:val="22"/>
              </w:rPr>
              <w:t xml:space="preserve"> </w:t>
            </w:r>
          </w:p>
        </w:tc>
        <w:tc>
          <w:tcPr>
            <w:tcW w:w="1260" w:type="dxa"/>
            <w:tcBorders>
              <w:top w:val="nil"/>
              <w:left w:val="nil"/>
              <w:bottom w:val="nil"/>
              <w:right w:val="nil"/>
            </w:tcBorders>
            <w:noWrap/>
            <w:vAlign w:val="center"/>
            <w:hideMark/>
          </w:tcPr>
          <w:p w14:paraId="33F2C1D0" w14:textId="77777777" w:rsidR="006E3C41" w:rsidRPr="00752F14" w:rsidRDefault="006E3C41" w:rsidP="006E3C41">
            <w:pPr>
              <w:jc w:val="center"/>
              <w:rPr>
                <w:color w:val="000000"/>
                <w:sz w:val="22"/>
                <w:szCs w:val="22"/>
              </w:rPr>
            </w:pPr>
            <w:r w:rsidRPr="00752F14">
              <w:rPr>
                <w:color w:val="000000"/>
                <w:sz w:val="22"/>
                <w:szCs w:val="22"/>
              </w:rPr>
              <w:t xml:space="preserve">$11,236 </w:t>
            </w:r>
          </w:p>
        </w:tc>
      </w:tr>
      <w:tr w:rsidR="006E3C41" w:rsidRPr="006E3C41" w14:paraId="05D50AF4" w14:textId="77777777" w:rsidTr="007D0FCB">
        <w:trPr>
          <w:trHeight w:val="420"/>
        </w:trPr>
        <w:tc>
          <w:tcPr>
            <w:tcW w:w="3050" w:type="dxa"/>
            <w:tcBorders>
              <w:top w:val="nil"/>
              <w:left w:val="nil"/>
              <w:bottom w:val="nil"/>
              <w:right w:val="nil"/>
            </w:tcBorders>
            <w:vAlign w:val="center"/>
            <w:hideMark/>
          </w:tcPr>
          <w:p w14:paraId="7FE3C9A5" w14:textId="77777777" w:rsidR="006E3C41" w:rsidRPr="00752F14" w:rsidRDefault="006E3C41" w:rsidP="006E3C41">
            <w:pPr>
              <w:rPr>
                <w:b/>
                <w:bCs/>
                <w:color w:val="000000"/>
                <w:sz w:val="22"/>
                <w:szCs w:val="22"/>
              </w:rPr>
            </w:pPr>
            <w:r w:rsidRPr="00752F14">
              <w:rPr>
                <w:b/>
                <w:bCs/>
                <w:color w:val="000000"/>
                <w:sz w:val="22"/>
                <w:szCs w:val="22"/>
              </w:rPr>
              <w:t>University of Michigan</w:t>
            </w:r>
          </w:p>
        </w:tc>
        <w:tc>
          <w:tcPr>
            <w:tcW w:w="1800" w:type="dxa"/>
            <w:tcBorders>
              <w:top w:val="nil"/>
              <w:left w:val="nil"/>
              <w:bottom w:val="nil"/>
              <w:right w:val="nil"/>
            </w:tcBorders>
            <w:vAlign w:val="center"/>
            <w:hideMark/>
          </w:tcPr>
          <w:p w14:paraId="60BBB21B" w14:textId="77777777" w:rsidR="006E3C41" w:rsidRPr="00752F14" w:rsidRDefault="006E3C41" w:rsidP="006E3C41">
            <w:pPr>
              <w:rPr>
                <w:b/>
                <w:bCs/>
                <w:color w:val="000000"/>
                <w:sz w:val="22"/>
                <w:szCs w:val="22"/>
              </w:rPr>
            </w:pPr>
          </w:p>
        </w:tc>
        <w:tc>
          <w:tcPr>
            <w:tcW w:w="1890" w:type="dxa"/>
            <w:tcBorders>
              <w:top w:val="nil"/>
              <w:left w:val="nil"/>
              <w:bottom w:val="nil"/>
              <w:right w:val="nil"/>
            </w:tcBorders>
            <w:vAlign w:val="center"/>
            <w:hideMark/>
          </w:tcPr>
          <w:p w14:paraId="1BACAD9F" w14:textId="77777777" w:rsidR="006E3C41" w:rsidRPr="00752F14" w:rsidRDefault="006E3C41" w:rsidP="006E3C41">
            <w:pPr>
              <w:jc w:val="center"/>
              <w:rPr>
                <w:sz w:val="22"/>
                <w:szCs w:val="22"/>
              </w:rPr>
            </w:pPr>
          </w:p>
        </w:tc>
        <w:tc>
          <w:tcPr>
            <w:tcW w:w="1710" w:type="dxa"/>
            <w:tcBorders>
              <w:top w:val="nil"/>
              <w:left w:val="nil"/>
              <w:bottom w:val="nil"/>
              <w:right w:val="nil"/>
            </w:tcBorders>
            <w:noWrap/>
            <w:vAlign w:val="center"/>
            <w:hideMark/>
          </w:tcPr>
          <w:p w14:paraId="4A8D713F" w14:textId="77777777" w:rsidR="006E3C41" w:rsidRPr="00752F14" w:rsidRDefault="006E3C41" w:rsidP="006E3C41">
            <w:pPr>
              <w:jc w:val="center"/>
              <w:rPr>
                <w:color w:val="000000"/>
                <w:sz w:val="22"/>
                <w:szCs w:val="22"/>
              </w:rPr>
            </w:pPr>
            <w:r w:rsidRPr="00752F14">
              <w:rPr>
                <w:color w:val="000000"/>
                <w:sz w:val="22"/>
                <w:szCs w:val="22"/>
              </w:rPr>
              <w:t xml:space="preserve">$9,904 </w:t>
            </w:r>
          </w:p>
        </w:tc>
        <w:tc>
          <w:tcPr>
            <w:tcW w:w="1260" w:type="dxa"/>
            <w:tcBorders>
              <w:top w:val="nil"/>
              <w:left w:val="nil"/>
              <w:bottom w:val="nil"/>
              <w:right w:val="nil"/>
            </w:tcBorders>
            <w:noWrap/>
            <w:vAlign w:val="center"/>
            <w:hideMark/>
          </w:tcPr>
          <w:p w14:paraId="2F3E587A" w14:textId="77777777" w:rsidR="006E3C41" w:rsidRPr="00752F14" w:rsidRDefault="006E3C41" w:rsidP="006E3C41">
            <w:pPr>
              <w:jc w:val="center"/>
              <w:rPr>
                <w:color w:val="000000"/>
                <w:sz w:val="22"/>
                <w:szCs w:val="22"/>
              </w:rPr>
            </w:pPr>
            <w:r w:rsidRPr="00752F14">
              <w:rPr>
                <w:color w:val="000000"/>
                <w:sz w:val="22"/>
                <w:szCs w:val="22"/>
              </w:rPr>
              <w:t xml:space="preserve">$10,792 </w:t>
            </w:r>
          </w:p>
        </w:tc>
      </w:tr>
      <w:tr w:rsidR="006E3C41" w:rsidRPr="006E3C41" w14:paraId="0CBC86E6" w14:textId="77777777" w:rsidTr="007D0FCB">
        <w:trPr>
          <w:trHeight w:val="420"/>
        </w:trPr>
        <w:tc>
          <w:tcPr>
            <w:tcW w:w="3050" w:type="dxa"/>
            <w:tcBorders>
              <w:top w:val="nil"/>
              <w:left w:val="nil"/>
              <w:bottom w:val="nil"/>
              <w:right w:val="nil"/>
            </w:tcBorders>
            <w:vAlign w:val="center"/>
            <w:hideMark/>
          </w:tcPr>
          <w:p w14:paraId="5911E2D1" w14:textId="77777777" w:rsidR="006E3C41" w:rsidRPr="00752F14" w:rsidRDefault="006E3C41" w:rsidP="006E3C41">
            <w:pPr>
              <w:rPr>
                <w:i/>
                <w:iCs/>
                <w:color w:val="000000"/>
                <w:sz w:val="22"/>
                <w:szCs w:val="22"/>
              </w:rPr>
            </w:pPr>
            <w:r w:rsidRPr="00752F14">
              <w:rPr>
                <w:i/>
                <w:iCs/>
                <w:color w:val="000000"/>
                <w:sz w:val="22"/>
                <w:szCs w:val="22"/>
              </w:rPr>
              <w:t xml:space="preserve">   Years 1 and 2</w:t>
            </w:r>
          </w:p>
        </w:tc>
        <w:tc>
          <w:tcPr>
            <w:tcW w:w="1800" w:type="dxa"/>
            <w:tcBorders>
              <w:top w:val="nil"/>
              <w:left w:val="nil"/>
              <w:bottom w:val="nil"/>
              <w:right w:val="nil"/>
            </w:tcBorders>
            <w:vAlign w:val="center"/>
            <w:hideMark/>
          </w:tcPr>
          <w:p w14:paraId="1E376443" w14:textId="7AE856CD" w:rsidR="006E3C41" w:rsidRPr="00752F14" w:rsidRDefault="006E3C41" w:rsidP="006E3C41">
            <w:pPr>
              <w:jc w:val="center"/>
              <w:rPr>
                <w:color w:val="000000"/>
                <w:sz w:val="22"/>
                <w:szCs w:val="22"/>
              </w:rPr>
            </w:pPr>
            <w:r w:rsidRPr="00752F14">
              <w:rPr>
                <w:color w:val="000000"/>
                <w:sz w:val="22"/>
                <w:szCs w:val="22"/>
              </w:rPr>
              <w:t>$1</w:t>
            </w:r>
            <w:r w:rsidR="00664679">
              <w:rPr>
                <w:color w:val="000000"/>
                <w:sz w:val="22"/>
                <w:szCs w:val="22"/>
              </w:rPr>
              <w:t>,</w:t>
            </w:r>
            <w:r w:rsidRPr="00752F14">
              <w:rPr>
                <w:color w:val="000000"/>
                <w:sz w:val="22"/>
                <w:szCs w:val="22"/>
              </w:rPr>
              <w:t>098 per year</w:t>
            </w:r>
          </w:p>
        </w:tc>
        <w:tc>
          <w:tcPr>
            <w:tcW w:w="1890" w:type="dxa"/>
            <w:tcBorders>
              <w:top w:val="nil"/>
              <w:left w:val="nil"/>
              <w:bottom w:val="nil"/>
              <w:right w:val="nil"/>
            </w:tcBorders>
            <w:vAlign w:val="center"/>
            <w:hideMark/>
          </w:tcPr>
          <w:p w14:paraId="4E0E2D3D" w14:textId="4B7A2D5A" w:rsidR="006E3C41" w:rsidRPr="00752F14" w:rsidRDefault="006E3C41" w:rsidP="006E3C41">
            <w:pPr>
              <w:jc w:val="center"/>
              <w:rPr>
                <w:color w:val="000000"/>
                <w:sz w:val="22"/>
                <w:szCs w:val="22"/>
              </w:rPr>
            </w:pPr>
            <w:r w:rsidRPr="00752F14">
              <w:rPr>
                <w:color w:val="000000"/>
                <w:sz w:val="22"/>
                <w:szCs w:val="22"/>
              </w:rPr>
              <w:t>$1</w:t>
            </w:r>
            <w:r w:rsidR="00664679">
              <w:rPr>
                <w:color w:val="000000"/>
                <w:sz w:val="22"/>
                <w:szCs w:val="22"/>
              </w:rPr>
              <w:t>,</w:t>
            </w:r>
            <w:r w:rsidRPr="00752F14">
              <w:rPr>
                <w:color w:val="000000"/>
                <w:sz w:val="22"/>
                <w:szCs w:val="22"/>
              </w:rPr>
              <w:t>076 per year</w:t>
            </w:r>
          </w:p>
        </w:tc>
        <w:tc>
          <w:tcPr>
            <w:tcW w:w="1710" w:type="dxa"/>
            <w:tcBorders>
              <w:top w:val="nil"/>
              <w:left w:val="nil"/>
              <w:bottom w:val="nil"/>
              <w:right w:val="nil"/>
            </w:tcBorders>
            <w:noWrap/>
            <w:vAlign w:val="center"/>
            <w:hideMark/>
          </w:tcPr>
          <w:p w14:paraId="10EA6144" w14:textId="77777777" w:rsidR="006E3C41" w:rsidRPr="00752F14" w:rsidRDefault="006E3C41" w:rsidP="006E3C41">
            <w:pPr>
              <w:jc w:val="center"/>
              <w:rPr>
                <w:color w:val="000000"/>
                <w:sz w:val="22"/>
                <w:szCs w:val="22"/>
              </w:rPr>
            </w:pPr>
          </w:p>
        </w:tc>
        <w:tc>
          <w:tcPr>
            <w:tcW w:w="1260" w:type="dxa"/>
            <w:tcBorders>
              <w:top w:val="nil"/>
              <w:left w:val="nil"/>
              <w:bottom w:val="nil"/>
              <w:right w:val="nil"/>
            </w:tcBorders>
            <w:noWrap/>
            <w:vAlign w:val="center"/>
            <w:hideMark/>
          </w:tcPr>
          <w:p w14:paraId="0AA23AF5" w14:textId="77777777" w:rsidR="006E3C41" w:rsidRPr="00752F14" w:rsidRDefault="006E3C41" w:rsidP="006E3C41">
            <w:pPr>
              <w:jc w:val="center"/>
              <w:rPr>
                <w:sz w:val="22"/>
                <w:szCs w:val="22"/>
              </w:rPr>
            </w:pPr>
          </w:p>
        </w:tc>
      </w:tr>
      <w:tr w:rsidR="006E3C41" w:rsidRPr="006E3C41" w14:paraId="138A75BB" w14:textId="77777777" w:rsidTr="007D0FCB">
        <w:trPr>
          <w:trHeight w:val="420"/>
        </w:trPr>
        <w:tc>
          <w:tcPr>
            <w:tcW w:w="3050" w:type="dxa"/>
            <w:tcBorders>
              <w:top w:val="nil"/>
              <w:left w:val="nil"/>
              <w:bottom w:val="nil"/>
              <w:right w:val="nil"/>
            </w:tcBorders>
            <w:vAlign w:val="center"/>
            <w:hideMark/>
          </w:tcPr>
          <w:p w14:paraId="378FDA61" w14:textId="77777777" w:rsidR="006E3C41" w:rsidRPr="00752F14" w:rsidRDefault="006E3C41" w:rsidP="006E3C41">
            <w:pPr>
              <w:rPr>
                <w:i/>
                <w:iCs/>
                <w:color w:val="000000"/>
                <w:sz w:val="22"/>
                <w:szCs w:val="22"/>
              </w:rPr>
            </w:pPr>
            <w:r w:rsidRPr="00752F14">
              <w:rPr>
                <w:i/>
                <w:iCs/>
                <w:color w:val="000000"/>
                <w:sz w:val="22"/>
                <w:szCs w:val="22"/>
              </w:rPr>
              <w:t xml:space="preserve">   Years 3 and 4</w:t>
            </w:r>
          </w:p>
        </w:tc>
        <w:tc>
          <w:tcPr>
            <w:tcW w:w="1800" w:type="dxa"/>
            <w:tcBorders>
              <w:top w:val="nil"/>
              <w:left w:val="nil"/>
              <w:bottom w:val="nil"/>
              <w:right w:val="nil"/>
            </w:tcBorders>
            <w:vAlign w:val="center"/>
            <w:hideMark/>
          </w:tcPr>
          <w:p w14:paraId="24B99741" w14:textId="6F991C1D" w:rsidR="006E3C41" w:rsidRPr="00752F14" w:rsidRDefault="006E3C41" w:rsidP="006E3C41">
            <w:pPr>
              <w:jc w:val="center"/>
              <w:rPr>
                <w:color w:val="000000"/>
                <w:sz w:val="22"/>
                <w:szCs w:val="22"/>
              </w:rPr>
            </w:pPr>
            <w:r w:rsidRPr="00752F14">
              <w:rPr>
                <w:color w:val="000000"/>
                <w:sz w:val="22"/>
                <w:szCs w:val="22"/>
              </w:rPr>
              <w:t>$3</w:t>
            </w:r>
            <w:r w:rsidR="00664679">
              <w:rPr>
                <w:color w:val="000000"/>
                <w:sz w:val="22"/>
                <w:szCs w:val="22"/>
              </w:rPr>
              <w:t>,</w:t>
            </w:r>
            <w:r w:rsidRPr="00752F14">
              <w:rPr>
                <w:color w:val="000000"/>
                <w:sz w:val="22"/>
                <w:szCs w:val="22"/>
              </w:rPr>
              <w:t>854 per year</w:t>
            </w:r>
          </w:p>
        </w:tc>
        <w:tc>
          <w:tcPr>
            <w:tcW w:w="1890" w:type="dxa"/>
            <w:tcBorders>
              <w:top w:val="nil"/>
              <w:left w:val="nil"/>
              <w:bottom w:val="nil"/>
              <w:right w:val="nil"/>
            </w:tcBorders>
            <w:vAlign w:val="center"/>
            <w:hideMark/>
          </w:tcPr>
          <w:p w14:paraId="7EEC4E2F" w14:textId="0F1D4030" w:rsidR="006E3C41" w:rsidRPr="00752F14" w:rsidRDefault="006E3C41" w:rsidP="006E3C41">
            <w:pPr>
              <w:jc w:val="center"/>
              <w:rPr>
                <w:color w:val="000000"/>
                <w:sz w:val="22"/>
                <w:szCs w:val="22"/>
              </w:rPr>
            </w:pPr>
            <w:r w:rsidRPr="00752F14">
              <w:rPr>
                <w:color w:val="000000"/>
                <w:sz w:val="22"/>
                <w:szCs w:val="22"/>
              </w:rPr>
              <w:t>$4</w:t>
            </w:r>
            <w:r w:rsidR="00664679">
              <w:rPr>
                <w:color w:val="000000"/>
                <w:sz w:val="22"/>
                <w:szCs w:val="22"/>
              </w:rPr>
              <w:t>,</w:t>
            </w:r>
            <w:r w:rsidRPr="00752F14">
              <w:rPr>
                <w:color w:val="000000"/>
                <w:sz w:val="22"/>
                <w:szCs w:val="22"/>
              </w:rPr>
              <w:t>320 per year</w:t>
            </w:r>
          </w:p>
        </w:tc>
        <w:tc>
          <w:tcPr>
            <w:tcW w:w="1710" w:type="dxa"/>
            <w:tcBorders>
              <w:top w:val="nil"/>
              <w:left w:val="nil"/>
              <w:bottom w:val="nil"/>
              <w:right w:val="nil"/>
            </w:tcBorders>
            <w:noWrap/>
            <w:vAlign w:val="center"/>
            <w:hideMark/>
          </w:tcPr>
          <w:p w14:paraId="4A805C68" w14:textId="77777777" w:rsidR="006E3C41" w:rsidRPr="00752F14" w:rsidRDefault="006E3C41" w:rsidP="006E3C41">
            <w:pPr>
              <w:jc w:val="center"/>
              <w:rPr>
                <w:color w:val="000000"/>
                <w:sz w:val="22"/>
                <w:szCs w:val="22"/>
              </w:rPr>
            </w:pPr>
          </w:p>
        </w:tc>
        <w:tc>
          <w:tcPr>
            <w:tcW w:w="1260" w:type="dxa"/>
            <w:tcBorders>
              <w:top w:val="nil"/>
              <w:left w:val="nil"/>
              <w:bottom w:val="nil"/>
              <w:right w:val="nil"/>
            </w:tcBorders>
            <w:noWrap/>
            <w:vAlign w:val="center"/>
            <w:hideMark/>
          </w:tcPr>
          <w:p w14:paraId="3965DADF" w14:textId="77777777" w:rsidR="006E3C41" w:rsidRPr="00752F14" w:rsidRDefault="006E3C41" w:rsidP="006E3C41">
            <w:pPr>
              <w:jc w:val="center"/>
              <w:rPr>
                <w:sz w:val="22"/>
                <w:szCs w:val="22"/>
              </w:rPr>
            </w:pPr>
          </w:p>
        </w:tc>
      </w:tr>
      <w:tr w:rsidR="006E3C41" w:rsidRPr="006E3C41" w14:paraId="55F48137" w14:textId="77777777" w:rsidTr="007D0FCB">
        <w:trPr>
          <w:trHeight w:val="480"/>
        </w:trPr>
        <w:tc>
          <w:tcPr>
            <w:tcW w:w="3050" w:type="dxa"/>
            <w:tcBorders>
              <w:top w:val="nil"/>
              <w:left w:val="nil"/>
              <w:bottom w:val="nil"/>
              <w:right w:val="nil"/>
            </w:tcBorders>
            <w:vAlign w:val="center"/>
            <w:hideMark/>
          </w:tcPr>
          <w:p w14:paraId="41D33CCF" w14:textId="77777777" w:rsidR="006E3C41" w:rsidRPr="00752F14" w:rsidRDefault="006E3C41" w:rsidP="006E3C41">
            <w:pPr>
              <w:rPr>
                <w:b/>
                <w:bCs/>
                <w:color w:val="000000"/>
                <w:sz w:val="22"/>
                <w:szCs w:val="22"/>
              </w:rPr>
            </w:pPr>
            <w:r w:rsidRPr="00752F14">
              <w:rPr>
                <w:b/>
                <w:bCs/>
                <w:color w:val="000000"/>
                <w:sz w:val="22"/>
                <w:szCs w:val="22"/>
              </w:rPr>
              <w:t>University of Illinois</w:t>
            </w:r>
            <w:r w:rsidRPr="00752F14">
              <w:rPr>
                <w:b/>
                <w:bCs/>
                <w:color w:val="000000"/>
                <w:sz w:val="22"/>
                <w:szCs w:val="22"/>
                <w:vertAlign w:val="superscript"/>
              </w:rPr>
              <w:t>5</w:t>
            </w:r>
          </w:p>
        </w:tc>
        <w:tc>
          <w:tcPr>
            <w:tcW w:w="1800" w:type="dxa"/>
            <w:tcBorders>
              <w:top w:val="nil"/>
              <w:left w:val="nil"/>
              <w:bottom w:val="nil"/>
              <w:right w:val="nil"/>
            </w:tcBorders>
            <w:vAlign w:val="center"/>
            <w:hideMark/>
          </w:tcPr>
          <w:p w14:paraId="5FD09BAD" w14:textId="3B05029D" w:rsidR="006E3C41" w:rsidRPr="00752F14" w:rsidRDefault="006E3C41" w:rsidP="006E3C41">
            <w:pPr>
              <w:jc w:val="center"/>
              <w:rPr>
                <w:color w:val="000000"/>
                <w:sz w:val="22"/>
                <w:szCs w:val="22"/>
              </w:rPr>
            </w:pPr>
            <w:r w:rsidRPr="00752F14">
              <w:rPr>
                <w:color w:val="000000"/>
                <w:sz w:val="22"/>
                <w:szCs w:val="22"/>
              </w:rPr>
              <w:t>$2</w:t>
            </w:r>
            <w:r w:rsidR="00664679">
              <w:rPr>
                <w:color w:val="000000"/>
                <w:sz w:val="22"/>
                <w:szCs w:val="22"/>
              </w:rPr>
              <w:t>,</w:t>
            </w:r>
            <w:r w:rsidRPr="00752F14">
              <w:rPr>
                <w:color w:val="000000"/>
                <w:sz w:val="22"/>
                <w:szCs w:val="22"/>
              </w:rPr>
              <w:t>690 per semester</w:t>
            </w:r>
          </w:p>
        </w:tc>
        <w:tc>
          <w:tcPr>
            <w:tcW w:w="1890" w:type="dxa"/>
            <w:tcBorders>
              <w:top w:val="nil"/>
              <w:left w:val="nil"/>
              <w:bottom w:val="nil"/>
              <w:right w:val="nil"/>
            </w:tcBorders>
            <w:vAlign w:val="center"/>
            <w:hideMark/>
          </w:tcPr>
          <w:p w14:paraId="60F12AD1" w14:textId="4B381DB6" w:rsidR="006E3C41" w:rsidRPr="00752F14" w:rsidRDefault="006E3C41" w:rsidP="006E3C41">
            <w:pPr>
              <w:jc w:val="center"/>
              <w:rPr>
                <w:color w:val="000000"/>
                <w:sz w:val="22"/>
                <w:szCs w:val="22"/>
              </w:rPr>
            </w:pPr>
            <w:r w:rsidRPr="00752F14">
              <w:rPr>
                <w:color w:val="000000"/>
                <w:sz w:val="22"/>
                <w:szCs w:val="22"/>
              </w:rPr>
              <w:t>$2</w:t>
            </w:r>
            <w:r w:rsidR="00664679">
              <w:rPr>
                <w:color w:val="000000"/>
                <w:sz w:val="22"/>
                <w:szCs w:val="22"/>
              </w:rPr>
              <w:t>,</w:t>
            </w:r>
            <w:r w:rsidRPr="00752F14">
              <w:rPr>
                <w:color w:val="000000"/>
                <w:sz w:val="22"/>
                <w:szCs w:val="22"/>
              </w:rPr>
              <w:t>690 per semester</w:t>
            </w:r>
          </w:p>
        </w:tc>
        <w:tc>
          <w:tcPr>
            <w:tcW w:w="1710" w:type="dxa"/>
            <w:tcBorders>
              <w:top w:val="nil"/>
              <w:left w:val="nil"/>
              <w:bottom w:val="nil"/>
              <w:right w:val="nil"/>
            </w:tcBorders>
            <w:noWrap/>
            <w:vAlign w:val="center"/>
            <w:hideMark/>
          </w:tcPr>
          <w:p w14:paraId="1F046E24" w14:textId="77777777" w:rsidR="006E3C41" w:rsidRPr="00752F14" w:rsidRDefault="006E3C41" w:rsidP="006E3C41">
            <w:pPr>
              <w:jc w:val="center"/>
              <w:rPr>
                <w:color w:val="000000"/>
                <w:sz w:val="22"/>
                <w:szCs w:val="22"/>
              </w:rPr>
            </w:pPr>
            <w:r w:rsidRPr="00752F14">
              <w:rPr>
                <w:color w:val="000000"/>
                <w:sz w:val="22"/>
                <w:szCs w:val="22"/>
              </w:rPr>
              <w:t xml:space="preserve">$10,760 </w:t>
            </w:r>
          </w:p>
        </w:tc>
        <w:tc>
          <w:tcPr>
            <w:tcW w:w="1260" w:type="dxa"/>
            <w:tcBorders>
              <w:top w:val="nil"/>
              <w:left w:val="nil"/>
              <w:bottom w:val="nil"/>
              <w:right w:val="nil"/>
            </w:tcBorders>
            <w:noWrap/>
            <w:vAlign w:val="center"/>
            <w:hideMark/>
          </w:tcPr>
          <w:p w14:paraId="0802293B" w14:textId="77777777" w:rsidR="006E3C41" w:rsidRPr="00752F14" w:rsidRDefault="006E3C41" w:rsidP="006E3C41">
            <w:pPr>
              <w:jc w:val="center"/>
              <w:rPr>
                <w:color w:val="000000"/>
                <w:sz w:val="22"/>
                <w:szCs w:val="22"/>
              </w:rPr>
            </w:pPr>
            <w:r w:rsidRPr="00752F14">
              <w:rPr>
                <w:color w:val="000000"/>
                <w:sz w:val="22"/>
                <w:szCs w:val="22"/>
              </w:rPr>
              <w:t xml:space="preserve">$10,760 </w:t>
            </w:r>
          </w:p>
        </w:tc>
      </w:tr>
      <w:tr w:rsidR="006E3C41" w:rsidRPr="006E3C41" w14:paraId="0B65A9AF" w14:textId="77777777" w:rsidTr="007D0FCB">
        <w:trPr>
          <w:trHeight w:val="420"/>
        </w:trPr>
        <w:tc>
          <w:tcPr>
            <w:tcW w:w="3050" w:type="dxa"/>
            <w:tcBorders>
              <w:top w:val="nil"/>
              <w:left w:val="nil"/>
              <w:bottom w:val="nil"/>
              <w:right w:val="nil"/>
            </w:tcBorders>
            <w:vAlign w:val="center"/>
            <w:hideMark/>
          </w:tcPr>
          <w:p w14:paraId="200E1172" w14:textId="77777777" w:rsidR="006E3C41" w:rsidRPr="00752F14" w:rsidRDefault="006E3C41" w:rsidP="006E3C41">
            <w:pPr>
              <w:rPr>
                <w:b/>
                <w:bCs/>
                <w:color w:val="000000"/>
                <w:sz w:val="22"/>
                <w:szCs w:val="22"/>
              </w:rPr>
            </w:pPr>
            <w:r w:rsidRPr="00752F14">
              <w:rPr>
                <w:b/>
                <w:bCs/>
                <w:color w:val="000000"/>
                <w:sz w:val="22"/>
                <w:szCs w:val="22"/>
              </w:rPr>
              <w:t>University of Wisconsin</w:t>
            </w:r>
            <w:r w:rsidRPr="00752F14">
              <w:rPr>
                <w:b/>
                <w:bCs/>
                <w:color w:val="000000"/>
                <w:sz w:val="22"/>
                <w:szCs w:val="22"/>
                <w:vertAlign w:val="superscript"/>
              </w:rPr>
              <w:t>2</w:t>
            </w:r>
          </w:p>
        </w:tc>
        <w:tc>
          <w:tcPr>
            <w:tcW w:w="1800" w:type="dxa"/>
            <w:tcBorders>
              <w:top w:val="nil"/>
              <w:left w:val="nil"/>
              <w:bottom w:val="nil"/>
              <w:right w:val="nil"/>
            </w:tcBorders>
            <w:vAlign w:val="center"/>
            <w:hideMark/>
          </w:tcPr>
          <w:p w14:paraId="56BFFC8F" w14:textId="53A92D2B" w:rsidR="006E3C41" w:rsidRPr="00752F14" w:rsidRDefault="006E3C41" w:rsidP="006E3C41">
            <w:pPr>
              <w:jc w:val="center"/>
              <w:rPr>
                <w:color w:val="000000"/>
                <w:sz w:val="22"/>
                <w:szCs w:val="22"/>
              </w:rPr>
            </w:pPr>
            <w:r w:rsidRPr="00752F14">
              <w:rPr>
                <w:color w:val="000000"/>
                <w:sz w:val="22"/>
                <w:szCs w:val="22"/>
              </w:rPr>
              <w:t>$3</w:t>
            </w:r>
            <w:r w:rsidR="00664679">
              <w:rPr>
                <w:color w:val="000000"/>
                <w:sz w:val="22"/>
                <w:szCs w:val="22"/>
              </w:rPr>
              <w:t>,</w:t>
            </w:r>
            <w:r w:rsidRPr="00752F14">
              <w:rPr>
                <w:color w:val="000000"/>
                <w:sz w:val="22"/>
                <w:szCs w:val="22"/>
              </w:rPr>
              <w:t>000 per year</w:t>
            </w:r>
          </w:p>
        </w:tc>
        <w:tc>
          <w:tcPr>
            <w:tcW w:w="1890" w:type="dxa"/>
            <w:tcBorders>
              <w:top w:val="nil"/>
              <w:left w:val="nil"/>
              <w:bottom w:val="nil"/>
              <w:right w:val="nil"/>
            </w:tcBorders>
            <w:vAlign w:val="center"/>
            <w:hideMark/>
          </w:tcPr>
          <w:p w14:paraId="1E48D1FE" w14:textId="4B93F03D" w:rsidR="006E3C41" w:rsidRPr="00752F14" w:rsidRDefault="006E3C41" w:rsidP="006E3C41">
            <w:pPr>
              <w:jc w:val="center"/>
              <w:rPr>
                <w:color w:val="000000"/>
                <w:sz w:val="22"/>
                <w:szCs w:val="22"/>
              </w:rPr>
            </w:pPr>
            <w:r w:rsidRPr="00752F14">
              <w:rPr>
                <w:color w:val="000000"/>
                <w:sz w:val="22"/>
                <w:szCs w:val="22"/>
              </w:rPr>
              <w:t>$3</w:t>
            </w:r>
            <w:r w:rsidR="00664679">
              <w:rPr>
                <w:color w:val="000000"/>
                <w:sz w:val="22"/>
                <w:szCs w:val="22"/>
              </w:rPr>
              <w:t>,</w:t>
            </w:r>
            <w:r w:rsidRPr="00752F14">
              <w:rPr>
                <w:color w:val="000000"/>
                <w:sz w:val="22"/>
                <w:szCs w:val="22"/>
              </w:rPr>
              <w:t>000 per year</w:t>
            </w:r>
          </w:p>
        </w:tc>
        <w:tc>
          <w:tcPr>
            <w:tcW w:w="1710" w:type="dxa"/>
            <w:tcBorders>
              <w:top w:val="nil"/>
              <w:left w:val="nil"/>
              <w:bottom w:val="nil"/>
              <w:right w:val="nil"/>
            </w:tcBorders>
            <w:noWrap/>
            <w:vAlign w:val="center"/>
            <w:hideMark/>
          </w:tcPr>
          <w:p w14:paraId="6AACC128" w14:textId="77777777" w:rsidR="006E3C41" w:rsidRPr="00752F14" w:rsidRDefault="006E3C41" w:rsidP="006E3C41">
            <w:pPr>
              <w:jc w:val="center"/>
              <w:rPr>
                <w:color w:val="000000"/>
                <w:sz w:val="22"/>
                <w:szCs w:val="22"/>
              </w:rPr>
            </w:pPr>
            <w:r w:rsidRPr="00752F14">
              <w:rPr>
                <w:color w:val="000000"/>
                <w:sz w:val="22"/>
                <w:szCs w:val="22"/>
              </w:rPr>
              <w:t xml:space="preserve">$12,000 </w:t>
            </w:r>
          </w:p>
        </w:tc>
        <w:tc>
          <w:tcPr>
            <w:tcW w:w="1260" w:type="dxa"/>
            <w:tcBorders>
              <w:top w:val="nil"/>
              <w:left w:val="nil"/>
              <w:bottom w:val="nil"/>
              <w:right w:val="nil"/>
            </w:tcBorders>
            <w:noWrap/>
            <w:vAlign w:val="center"/>
            <w:hideMark/>
          </w:tcPr>
          <w:p w14:paraId="007B0B1B" w14:textId="77777777" w:rsidR="006E3C41" w:rsidRPr="00752F14" w:rsidRDefault="006E3C41" w:rsidP="006E3C41">
            <w:pPr>
              <w:jc w:val="center"/>
              <w:rPr>
                <w:color w:val="000000"/>
                <w:sz w:val="22"/>
                <w:szCs w:val="22"/>
              </w:rPr>
            </w:pPr>
            <w:r w:rsidRPr="00752F14">
              <w:rPr>
                <w:color w:val="000000"/>
                <w:sz w:val="22"/>
                <w:szCs w:val="22"/>
              </w:rPr>
              <w:t xml:space="preserve">$12,000 </w:t>
            </w:r>
          </w:p>
        </w:tc>
      </w:tr>
      <w:tr w:rsidR="006E3C41" w:rsidRPr="006E3C41" w14:paraId="7F17CE23" w14:textId="77777777" w:rsidTr="007D0FCB">
        <w:trPr>
          <w:trHeight w:val="420"/>
        </w:trPr>
        <w:tc>
          <w:tcPr>
            <w:tcW w:w="3050" w:type="dxa"/>
            <w:tcBorders>
              <w:top w:val="nil"/>
              <w:left w:val="nil"/>
              <w:bottom w:val="nil"/>
              <w:right w:val="nil"/>
            </w:tcBorders>
            <w:vAlign w:val="center"/>
            <w:hideMark/>
          </w:tcPr>
          <w:p w14:paraId="562B4BC2" w14:textId="77777777" w:rsidR="006E3C41" w:rsidRPr="00752F14" w:rsidRDefault="006E3C41" w:rsidP="006E3C41">
            <w:pPr>
              <w:rPr>
                <w:b/>
                <w:bCs/>
                <w:color w:val="000000"/>
                <w:sz w:val="22"/>
                <w:szCs w:val="22"/>
              </w:rPr>
            </w:pPr>
            <w:r w:rsidRPr="00752F14">
              <w:rPr>
                <w:b/>
                <w:bCs/>
                <w:color w:val="000000"/>
                <w:sz w:val="22"/>
                <w:szCs w:val="22"/>
              </w:rPr>
              <w:t>University of Iowa</w:t>
            </w:r>
          </w:p>
        </w:tc>
        <w:tc>
          <w:tcPr>
            <w:tcW w:w="1800" w:type="dxa"/>
            <w:tcBorders>
              <w:top w:val="nil"/>
              <w:left w:val="nil"/>
              <w:bottom w:val="nil"/>
              <w:right w:val="nil"/>
            </w:tcBorders>
            <w:vAlign w:val="center"/>
            <w:hideMark/>
          </w:tcPr>
          <w:p w14:paraId="560624C2" w14:textId="77777777" w:rsidR="006E3C41" w:rsidRPr="00752F14" w:rsidRDefault="006E3C41" w:rsidP="006E3C41">
            <w:pPr>
              <w:rPr>
                <w:b/>
                <w:bCs/>
                <w:color w:val="000000"/>
                <w:sz w:val="22"/>
                <w:szCs w:val="22"/>
              </w:rPr>
            </w:pPr>
          </w:p>
        </w:tc>
        <w:tc>
          <w:tcPr>
            <w:tcW w:w="1890" w:type="dxa"/>
            <w:tcBorders>
              <w:top w:val="nil"/>
              <w:left w:val="nil"/>
              <w:bottom w:val="nil"/>
              <w:right w:val="nil"/>
            </w:tcBorders>
            <w:vAlign w:val="center"/>
            <w:hideMark/>
          </w:tcPr>
          <w:p w14:paraId="44BD0F73" w14:textId="77777777" w:rsidR="006E3C41" w:rsidRPr="00752F14" w:rsidRDefault="006E3C41" w:rsidP="006E3C41">
            <w:pPr>
              <w:jc w:val="center"/>
              <w:rPr>
                <w:sz w:val="22"/>
                <w:szCs w:val="22"/>
              </w:rPr>
            </w:pPr>
          </w:p>
        </w:tc>
        <w:tc>
          <w:tcPr>
            <w:tcW w:w="1710" w:type="dxa"/>
            <w:tcBorders>
              <w:top w:val="nil"/>
              <w:left w:val="nil"/>
              <w:bottom w:val="nil"/>
              <w:right w:val="nil"/>
            </w:tcBorders>
            <w:noWrap/>
            <w:vAlign w:val="center"/>
            <w:hideMark/>
          </w:tcPr>
          <w:p w14:paraId="24069AFA" w14:textId="77777777" w:rsidR="006E3C41" w:rsidRPr="00752F14" w:rsidRDefault="006E3C41" w:rsidP="006E3C41">
            <w:pPr>
              <w:jc w:val="center"/>
              <w:rPr>
                <w:color w:val="000000"/>
                <w:sz w:val="22"/>
                <w:szCs w:val="22"/>
              </w:rPr>
            </w:pPr>
            <w:r w:rsidRPr="00752F14">
              <w:rPr>
                <w:color w:val="000000"/>
                <w:sz w:val="22"/>
                <w:szCs w:val="22"/>
              </w:rPr>
              <w:t xml:space="preserve">$12,560 </w:t>
            </w:r>
          </w:p>
        </w:tc>
        <w:tc>
          <w:tcPr>
            <w:tcW w:w="1260" w:type="dxa"/>
            <w:tcBorders>
              <w:top w:val="nil"/>
              <w:left w:val="nil"/>
              <w:bottom w:val="nil"/>
              <w:right w:val="nil"/>
            </w:tcBorders>
            <w:noWrap/>
            <w:vAlign w:val="center"/>
            <w:hideMark/>
          </w:tcPr>
          <w:p w14:paraId="2C742763" w14:textId="77777777" w:rsidR="006E3C41" w:rsidRPr="00752F14" w:rsidRDefault="006E3C41" w:rsidP="006E3C41">
            <w:pPr>
              <w:jc w:val="center"/>
              <w:rPr>
                <w:color w:val="000000"/>
                <w:sz w:val="22"/>
                <w:szCs w:val="22"/>
              </w:rPr>
            </w:pPr>
            <w:r w:rsidRPr="00752F14">
              <w:rPr>
                <w:color w:val="000000"/>
                <w:sz w:val="22"/>
                <w:szCs w:val="22"/>
              </w:rPr>
              <w:t xml:space="preserve">$13,280 </w:t>
            </w:r>
          </w:p>
        </w:tc>
      </w:tr>
      <w:tr w:rsidR="006E3C41" w:rsidRPr="006E3C41" w14:paraId="11E2C3A2" w14:textId="77777777" w:rsidTr="007D0FCB">
        <w:trPr>
          <w:trHeight w:val="420"/>
        </w:trPr>
        <w:tc>
          <w:tcPr>
            <w:tcW w:w="3050" w:type="dxa"/>
            <w:tcBorders>
              <w:top w:val="nil"/>
              <w:left w:val="nil"/>
              <w:bottom w:val="nil"/>
              <w:right w:val="nil"/>
            </w:tcBorders>
            <w:vAlign w:val="center"/>
            <w:hideMark/>
          </w:tcPr>
          <w:p w14:paraId="4F4C185D" w14:textId="77777777" w:rsidR="006E3C41" w:rsidRPr="00752F14" w:rsidRDefault="006E3C41" w:rsidP="006E3C41">
            <w:pPr>
              <w:rPr>
                <w:i/>
                <w:iCs/>
                <w:color w:val="000000"/>
                <w:sz w:val="22"/>
                <w:szCs w:val="22"/>
              </w:rPr>
            </w:pPr>
            <w:r w:rsidRPr="00752F14">
              <w:rPr>
                <w:i/>
                <w:iCs/>
                <w:color w:val="000000"/>
                <w:sz w:val="22"/>
                <w:szCs w:val="22"/>
              </w:rPr>
              <w:t xml:space="preserve">   Years 1 and 2</w:t>
            </w:r>
          </w:p>
        </w:tc>
        <w:tc>
          <w:tcPr>
            <w:tcW w:w="1800" w:type="dxa"/>
            <w:tcBorders>
              <w:top w:val="nil"/>
              <w:left w:val="nil"/>
              <w:bottom w:val="nil"/>
              <w:right w:val="nil"/>
            </w:tcBorders>
            <w:vAlign w:val="center"/>
            <w:hideMark/>
          </w:tcPr>
          <w:p w14:paraId="354F872B" w14:textId="56114589" w:rsidR="006E3C41" w:rsidRPr="00752F14" w:rsidRDefault="006E3C41" w:rsidP="006E3C41">
            <w:pPr>
              <w:jc w:val="center"/>
              <w:rPr>
                <w:color w:val="000000"/>
                <w:sz w:val="22"/>
                <w:szCs w:val="22"/>
              </w:rPr>
            </w:pPr>
            <w:r w:rsidRPr="00752F14">
              <w:rPr>
                <w:color w:val="000000"/>
                <w:sz w:val="22"/>
                <w:szCs w:val="22"/>
              </w:rPr>
              <w:t>$2</w:t>
            </w:r>
            <w:r w:rsidR="00664679">
              <w:rPr>
                <w:color w:val="000000"/>
                <w:sz w:val="22"/>
                <w:szCs w:val="22"/>
              </w:rPr>
              <w:t>,</w:t>
            </w:r>
            <w:r w:rsidRPr="00752F14">
              <w:rPr>
                <w:color w:val="000000"/>
                <w:sz w:val="22"/>
                <w:szCs w:val="22"/>
              </w:rPr>
              <w:t>154 per year</w:t>
            </w:r>
          </w:p>
        </w:tc>
        <w:tc>
          <w:tcPr>
            <w:tcW w:w="1890" w:type="dxa"/>
            <w:tcBorders>
              <w:top w:val="nil"/>
              <w:left w:val="nil"/>
              <w:bottom w:val="nil"/>
              <w:right w:val="nil"/>
            </w:tcBorders>
            <w:vAlign w:val="center"/>
            <w:hideMark/>
          </w:tcPr>
          <w:p w14:paraId="47015F3A" w14:textId="04912452" w:rsidR="006E3C41" w:rsidRPr="00752F14" w:rsidRDefault="006E3C41" w:rsidP="006E3C41">
            <w:pPr>
              <w:jc w:val="center"/>
              <w:rPr>
                <w:color w:val="000000"/>
                <w:sz w:val="22"/>
                <w:szCs w:val="22"/>
              </w:rPr>
            </w:pPr>
            <w:r w:rsidRPr="00752F14">
              <w:rPr>
                <w:color w:val="000000"/>
                <w:sz w:val="22"/>
                <w:szCs w:val="22"/>
              </w:rPr>
              <w:t>$2</w:t>
            </w:r>
            <w:r w:rsidR="00664679">
              <w:rPr>
                <w:color w:val="000000"/>
                <w:sz w:val="22"/>
                <w:szCs w:val="22"/>
              </w:rPr>
              <w:t>,</w:t>
            </w:r>
            <w:r w:rsidRPr="00752F14">
              <w:rPr>
                <w:color w:val="000000"/>
                <w:sz w:val="22"/>
                <w:szCs w:val="22"/>
              </w:rPr>
              <w:t>217 per year</w:t>
            </w:r>
          </w:p>
        </w:tc>
        <w:tc>
          <w:tcPr>
            <w:tcW w:w="1710" w:type="dxa"/>
            <w:tcBorders>
              <w:top w:val="nil"/>
              <w:left w:val="nil"/>
              <w:bottom w:val="nil"/>
              <w:right w:val="nil"/>
            </w:tcBorders>
            <w:noWrap/>
            <w:vAlign w:val="center"/>
            <w:hideMark/>
          </w:tcPr>
          <w:p w14:paraId="1AAF0F69" w14:textId="77777777" w:rsidR="006E3C41" w:rsidRPr="00752F14" w:rsidRDefault="006E3C41" w:rsidP="006E3C41">
            <w:pPr>
              <w:jc w:val="center"/>
              <w:rPr>
                <w:color w:val="000000"/>
                <w:sz w:val="22"/>
                <w:szCs w:val="22"/>
              </w:rPr>
            </w:pPr>
          </w:p>
        </w:tc>
        <w:tc>
          <w:tcPr>
            <w:tcW w:w="1260" w:type="dxa"/>
            <w:tcBorders>
              <w:top w:val="nil"/>
              <w:left w:val="nil"/>
              <w:bottom w:val="nil"/>
              <w:right w:val="nil"/>
            </w:tcBorders>
            <w:noWrap/>
            <w:vAlign w:val="center"/>
            <w:hideMark/>
          </w:tcPr>
          <w:p w14:paraId="48EEF2BB" w14:textId="77777777" w:rsidR="006E3C41" w:rsidRPr="00752F14" w:rsidRDefault="006E3C41" w:rsidP="006E3C41">
            <w:pPr>
              <w:jc w:val="center"/>
              <w:rPr>
                <w:sz w:val="22"/>
                <w:szCs w:val="22"/>
              </w:rPr>
            </w:pPr>
          </w:p>
        </w:tc>
      </w:tr>
      <w:tr w:rsidR="006E3C41" w:rsidRPr="006E3C41" w14:paraId="5E220FEA" w14:textId="77777777" w:rsidTr="007D0FCB">
        <w:trPr>
          <w:trHeight w:val="420"/>
        </w:trPr>
        <w:tc>
          <w:tcPr>
            <w:tcW w:w="3050" w:type="dxa"/>
            <w:tcBorders>
              <w:top w:val="nil"/>
              <w:left w:val="nil"/>
              <w:bottom w:val="nil"/>
              <w:right w:val="nil"/>
            </w:tcBorders>
            <w:vAlign w:val="center"/>
            <w:hideMark/>
          </w:tcPr>
          <w:p w14:paraId="4377CD35" w14:textId="77777777" w:rsidR="006E3C41" w:rsidRPr="00752F14" w:rsidRDefault="006E3C41" w:rsidP="006E3C41">
            <w:pPr>
              <w:rPr>
                <w:i/>
                <w:iCs/>
                <w:color w:val="000000"/>
                <w:sz w:val="22"/>
                <w:szCs w:val="22"/>
              </w:rPr>
            </w:pPr>
            <w:r w:rsidRPr="00752F14">
              <w:rPr>
                <w:i/>
                <w:iCs/>
                <w:color w:val="000000"/>
                <w:sz w:val="22"/>
                <w:szCs w:val="22"/>
              </w:rPr>
              <w:t xml:space="preserve">   Years 3 and 4</w:t>
            </w:r>
          </w:p>
        </w:tc>
        <w:tc>
          <w:tcPr>
            <w:tcW w:w="1800" w:type="dxa"/>
            <w:tcBorders>
              <w:top w:val="nil"/>
              <w:left w:val="nil"/>
              <w:bottom w:val="nil"/>
              <w:right w:val="nil"/>
            </w:tcBorders>
            <w:vAlign w:val="center"/>
            <w:hideMark/>
          </w:tcPr>
          <w:p w14:paraId="66083C4C" w14:textId="4385C9F1" w:rsidR="006E3C41" w:rsidRPr="00752F14" w:rsidRDefault="006E3C41" w:rsidP="006E3C41">
            <w:pPr>
              <w:jc w:val="center"/>
              <w:rPr>
                <w:color w:val="000000"/>
                <w:sz w:val="22"/>
                <w:szCs w:val="22"/>
              </w:rPr>
            </w:pPr>
            <w:r w:rsidRPr="00752F14">
              <w:rPr>
                <w:color w:val="000000"/>
                <w:sz w:val="22"/>
                <w:szCs w:val="22"/>
              </w:rPr>
              <w:t>$4</w:t>
            </w:r>
            <w:r w:rsidR="00664679">
              <w:rPr>
                <w:color w:val="000000"/>
                <w:sz w:val="22"/>
                <w:szCs w:val="22"/>
              </w:rPr>
              <w:t>,</w:t>
            </w:r>
            <w:r w:rsidRPr="00752F14">
              <w:rPr>
                <w:color w:val="000000"/>
                <w:sz w:val="22"/>
                <w:szCs w:val="22"/>
              </w:rPr>
              <w:t>126 per year</w:t>
            </w:r>
          </w:p>
        </w:tc>
        <w:tc>
          <w:tcPr>
            <w:tcW w:w="1890" w:type="dxa"/>
            <w:tcBorders>
              <w:top w:val="nil"/>
              <w:left w:val="nil"/>
              <w:bottom w:val="nil"/>
              <w:right w:val="nil"/>
            </w:tcBorders>
            <w:vAlign w:val="center"/>
            <w:hideMark/>
          </w:tcPr>
          <w:p w14:paraId="64FE2BD7" w14:textId="72D716CF" w:rsidR="006E3C41" w:rsidRPr="00752F14" w:rsidRDefault="006E3C41" w:rsidP="006E3C41">
            <w:pPr>
              <w:jc w:val="center"/>
              <w:rPr>
                <w:color w:val="000000"/>
                <w:sz w:val="22"/>
                <w:szCs w:val="22"/>
              </w:rPr>
            </w:pPr>
            <w:r w:rsidRPr="00752F14">
              <w:rPr>
                <w:color w:val="000000"/>
                <w:sz w:val="22"/>
                <w:szCs w:val="22"/>
              </w:rPr>
              <w:t>$4</w:t>
            </w:r>
            <w:r w:rsidR="00664679">
              <w:rPr>
                <w:color w:val="000000"/>
                <w:sz w:val="22"/>
                <w:szCs w:val="22"/>
              </w:rPr>
              <w:t>,</w:t>
            </w:r>
            <w:r w:rsidRPr="00752F14">
              <w:rPr>
                <w:color w:val="000000"/>
                <w:sz w:val="22"/>
                <w:szCs w:val="22"/>
              </w:rPr>
              <w:t>423 per year</w:t>
            </w:r>
          </w:p>
        </w:tc>
        <w:tc>
          <w:tcPr>
            <w:tcW w:w="1710" w:type="dxa"/>
            <w:tcBorders>
              <w:top w:val="nil"/>
              <w:left w:val="nil"/>
              <w:bottom w:val="nil"/>
              <w:right w:val="nil"/>
            </w:tcBorders>
            <w:noWrap/>
            <w:vAlign w:val="center"/>
            <w:hideMark/>
          </w:tcPr>
          <w:p w14:paraId="05E4B718" w14:textId="77777777" w:rsidR="006E3C41" w:rsidRPr="00752F14" w:rsidRDefault="006E3C41" w:rsidP="006E3C41">
            <w:pPr>
              <w:jc w:val="center"/>
              <w:rPr>
                <w:color w:val="000000"/>
                <w:sz w:val="22"/>
                <w:szCs w:val="22"/>
              </w:rPr>
            </w:pPr>
          </w:p>
        </w:tc>
        <w:tc>
          <w:tcPr>
            <w:tcW w:w="1260" w:type="dxa"/>
            <w:tcBorders>
              <w:top w:val="nil"/>
              <w:left w:val="nil"/>
              <w:bottom w:val="nil"/>
              <w:right w:val="nil"/>
            </w:tcBorders>
            <w:noWrap/>
            <w:vAlign w:val="center"/>
            <w:hideMark/>
          </w:tcPr>
          <w:p w14:paraId="3250BAFB" w14:textId="77777777" w:rsidR="006E3C41" w:rsidRPr="00752F14" w:rsidRDefault="006E3C41" w:rsidP="006E3C41">
            <w:pPr>
              <w:jc w:val="center"/>
              <w:rPr>
                <w:sz w:val="22"/>
                <w:szCs w:val="22"/>
              </w:rPr>
            </w:pPr>
          </w:p>
        </w:tc>
      </w:tr>
      <w:tr w:rsidR="006E3C41" w:rsidRPr="006E3C41" w14:paraId="2B42EB60" w14:textId="77777777" w:rsidTr="007D0FCB">
        <w:trPr>
          <w:trHeight w:val="500"/>
        </w:trPr>
        <w:tc>
          <w:tcPr>
            <w:tcW w:w="3050" w:type="dxa"/>
            <w:tcBorders>
              <w:top w:val="nil"/>
              <w:left w:val="nil"/>
              <w:bottom w:val="nil"/>
              <w:right w:val="nil"/>
            </w:tcBorders>
            <w:vAlign w:val="center"/>
            <w:hideMark/>
          </w:tcPr>
          <w:p w14:paraId="5BC970F4" w14:textId="77777777" w:rsidR="006E3C41" w:rsidRPr="00752F14" w:rsidRDefault="006E3C41" w:rsidP="006E3C41">
            <w:pPr>
              <w:rPr>
                <w:b/>
                <w:bCs/>
                <w:color w:val="000000"/>
                <w:sz w:val="22"/>
                <w:szCs w:val="22"/>
              </w:rPr>
            </w:pPr>
            <w:r w:rsidRPr="00752F14">
              <w:rPr>
                <w:b/>
                <w:bCs/>
                <w:color w:val="000000"/>
                <w:sz w:val="22"/>
                <w:szCs w:val="22"/>
              </w:rPr>
              <w:t>Northwestern University</w:t>
            </w:r>
          </w:p>
        </w:tc>
        <w:tc>
          <w:tcPr>
            <w:tcW w:w="6660" w:type="dxa"/>
            <w:gridSpan w:val="4"/>
            <w:tcBorders>
              <w:top w:val="nil"/>
              <w:left w:val="nil"/>
              <w:bottom w:val="nil"/>
              <w:right w:val="nil"/>
            </w:tcBorders>
            <w:vAlign w:val="center"/>
            <w:hideMark/>
          </w:tcPr>
          <w:p w14:paraId="59FF1E86" w14:textId="77777777" w:rsidR="006E3C41" w:rsidRPr="00752F14" w:rsidRDefault="006E3C41" w:rsidP="006E3C41">
            <w:pPr>
              <w:jc w:val="center"/>
              <w:rPr>
                <w:color w:val="000000"/>
                <w:sz w:val="22"/>
                <w:szCs w:val="22"/>
              </w:rPr>
            </w:pPr>
            <w:r w:rsidRPr="00752F14">
              <w:rPr>
                <w:color w:val="000000"/>
                <w:sz w:val="22"/>
                <w:szCs w:val="22"/>
              </w:rPr>
              <w:t>Does not offer an undergraduate business degree</w:t>
            </w:r>
          </w:p>
        </w:tc>
      </w:tr>
      <w:tr w:rsidR="006E3C41" w:rsidRPr="006E3C41" w14:paraId="380DD80B" w14:textId="77777777" w:rsidTr="007D0FCB">
        <w:trPr>
          <w:trHeight w:val="420"/>
        </w:trPr>
        <w:tc>
          <w:tcPr>
            <w:tcW w:w="3050" w:type="dxa"/>
            <w:tcBorders>
              <w:top w:val="nil"/>
              <w:left w:val="nil"/>
              <w:bottom w:val="single" w:sz="4" w:space="0" w:color="auto"/>
              <w:right w:val="nil"/>
            </w:tcBorders>
            <w:vAlign w:val="center"/>
            <w:hideMark/>
          </w:tcPr>
          <w:p w14:paraId="414C7C8B" w14:textId="77777777" w:rsidR="006E3C41" w:rsidRPr="00752F14" w:rsidRDefault="006E3C41" w:rsidP="006E3C41">
            <w:pPr>
              <w:rPr>
                <w:b/>
                <w:bCs/>
                <w:color w:val="000000"/>
                <w:sz w:val="22"/>
                <w:szCs w:val="22"/>
              </w:rPr>
            </w:pPr>
            <w:r w:rsidRPr="00752F14">
              <w:rPr>
                <w:b/>
                <w:bCs/>
                <w:color w:val="000000"/>
                <w:sz w:val="22"/>
                <w:szCs w:val="22"/>
              </w:rPr>
              <w:t>UCLA</w:t>
            </w:r>
          </w:p>
        </w:tc>
        <w:tc>
          <w:tcPr>
            <w:tcW w:w="6660" w:type="dxa"/>
            <w:gridSpan w:val="4"/>
            <w:tcBorders>
              <w:top w:val="nil"/>
              <w:left w:val="nil"/>
              <w:bottom w:val="single" w:sz="4" w:space="0" w:color="auto"/>
              <w:right w:val="nil"/>
            </w:tcBorders>
            <w:vAlign w:val="center"/>
            <w:hideMark/>
          </w:tcPr>
          <w:p w14:paraId="2E52C2F4" w14:textId="77777777" w:rsidR="006E3C41" w:rsidRPr="00752F14" w:rsidRDefault="006E3C41" w:rsidP="006E3C41">
            <w:pPr>
              <w:jc w:val="center"/>
              <w:rPr>
                <w:color w:val="000000"/>
                <w:sz w:val="22"/>
                <w:szCs w:val="22"/>
              </w:rPr>
            </w:pPr>
            <w:r w:rsidRPr="00752F14">
              <w:rPr>
                <w:color w:val="000000"/>
                <w:sz w:val="22"/>
                <w:szCs w:val="22"/>
              </w:rPr>
              <w:t>Does not offer an undergraduate business degree</w:t>
            </w:r>
          </w:p>
        </w:tc>
      </w:tr>
      <w:tr w:rsidR="001A552E" w:rsidRPr="006E3C41" w14:paraId="032DACDE" w14:textId="77777777" w:rsidTr="00F659C5">
        <w:trPr>
          <w:trHeight w:val="380"/>
        </w:trPr>
        <w:tc>
          <w:tcPr>
            <w:tcW w:w="8450" w:type="dxa"/>
            <w:gridSpan w:val="4"/>
            <w:tcBorders>
              <w:top w:val="nil"/>
              <w:left w:val="nil"/>
              <w:bottom w:val="nil"/>
              <w:right w:val="nil"/>
            </w:tcBorders>
            <w:noWrap/>
            <w:vAlign w:val="bottom"/>
            <w:hideMark/>
          </w:tcPr>
          <w:p w14:paraId="77881698" w14:textId="2D5A661B" w:rsidR="001A552E" w:rsidRPr="00752F14" w:rsidRDefault="001A552E" w:rsidP="006E3C41">
            <w:pPr>
              <w:rPr>
                <w:color w:val="000000"/>
                <w:sz w:val="22"/>
                <w:szCs w:val="22"/>
              </w:rPr>
            </w:pPr>
            <w:r w:rsidRPr="00752F14">
              <w:rPr>
                <w:color w:val="000000"/>
                <w:sz w:val="22"/>
                <w:szCs w:val="22"/>
                <w:vertAlign w:val="superscript"/>
              </w:rPr>
              <w:t xml:space="preserve">1 </w:t>
            </w:r>
            <w:r w:rsidRPr="00752F14">
              <w:rPr>
                <w:color w:val="000000"/>
                <w:sz w:val="22"/>
                <w:szCs w:val="22"/>
              </w:rPr>
              <w:t>Relative to costs for a major in the College of Arts and Sciences (or equivalent).</w:t>
            </w:r>
          </w:p>
        </w:tc>
        <w:tc>
          <w:tcPr>
            <w:tcW w:w="1260" w:type="dxa"/>
            <w:tcBorders>
              <w:top w:val="nil"/>
              <w:left w:val="nil"/>
              <w:bottom w:val="nil"/>
              <w:right w:val="nil"/>
            </w:tcBorders>
            <w:noWrap/>
            <w:vAlign w:val="bottom"/>
            <w:hideMark/>
          </w:tcPr>
          <w:p w14:paraId="3AD7C858" w14:textId="77777777" w:rsidR="001A552E" w:rsidRPr="006E3C41" w:rsidRDefault="001A552E" w:rsidP="006E3C41">
            <w:pPr>
              <w:rPr>
                <w:sz w:val="20"/>
                <w:szCs w:val="20"/>
              </w:rPr>
            </w:pPr>
          </w:p>
        </w:tc>
      </w:tr>
      <w:tr w:rsidR="001A552E" w:rsidRPr="006E3C41" w14:paraId="7287579F" w14:textId="77777777" w:rsidTr="00140B06">
        <w:trPr>
          <w:trHeight w:val="380"/>
        </w:trPr>
        <w:tc>
          <w:tcPr>
            <w:tcW w:w="9710" w:type="dxa"/>
            <w:gridSpan w:val="5"/>
            <w:tcBorders>
              <w:top w:val="nil"/>
              <w:left w:val="nil"/>
              <w:bottom w:val="nil"/>
              <w:right w:val="nil"/>
            </w:tcBorders>
            <w:noWrap/>
            <w:vAlign w:val="bottom"/>
            <w:hideMark/>
          </w:tcPr>
          <w:p w14:paraId="00EBD642" w14:textId="038A738F" w:rsidR="001A552E" w:rsidRPr="006E3C41" w:rsidRDefault="001A552E" w:rsidP="006E3C41">
            <w:pPr>
              <w:rPr>
                <w:sz w:val="20"/>
                <w:szCs w:val="20"/>
              </w:rPr>
            </w:pPr>
            <w:r w:rsidRPr="00752F14">
              <w:rPr>
                <w:color w:val="000000"/>
                <w:sz w:val="22"/>
                <w:szCs w:val="22"/>
                <w:vertAlign w:val="superscript"/>
              </w:rPr>
              <w:t xml:space="preserve">2 </w:t>
            </w:r>
            <w:r w:rsidRPr="00752F14">
              <w:rPr>
                <w:color w:val="000000"/>
                <w:sz w:val="22"/>
                <w:szCs w:val="22"/>
              </w:rPr>
              <w:t>Students are directly admitted into the business school as first-year</w:t>
            </w:r>
            <w:r>
              <w:rPr>
                <w:color w:val="000000"/>
                <w:sz w:val="22"/>
                <w:szCs w:val="22"/>
              </w:rPr>
              <w:t xml:space="preserve"> </w:t>
            </w:r>
            <w:r w:rsidRPr="00752F14">
              <w:rPr>
                <w:color w:val="000000"/>
                <w:sz w:val="22"/>
                <w:szCs w:val="22"/>
              </w:rPr>
              <w:t>students.</w:t>
            </w:r>
          </w:p>
        </w:tc>
      </w:tr>
      <w:tr w:rsidR="001A552E" w:rsidRPr="006E3C41" w14:paraId="0D8D68F6" w14:textId="77777777" w:rsidTr="009A0427">
        <w:trPr>
          <w:trHeight w:val="380"/>
        </w:trPr>
        <w:tc>
          <w:tcPr>
            <w:tcW w:w="9710" w:type="dxa"/>
            <w:gridSpan w:val="5"/>
            <w:tcBorders>
              <w:top w:val="nil"/>
              <w:left w:val="nil"/>
              <w:bottom w:val="nil"/>
              <w:right w:val="nil"/>
            </w:tcBorders>
            <w:noWrap/>
            <w:vAlign w:val="bottom"/>
            <w:hideMark/>
          </w:tcPr>
          <w:p w14:paraId="2FB3533F" w14:textId="07CEE21C" w:rsidR="001A552E" w:rsidRPr="006E3C41" w:rsidRDefault="001A552E" w:rsidP="006E3C41">
            <w:pPr>
              <w:rPr>
                <w:rFonts w:ascii="Aptos Narrow" w:hAnsi="Aptos Narrow"/>
                <w:color w:val="000000"/>
              </w:rPr>
            </w:pPr>
            <w:r w:rsidRPr="00752F14">
              <w:rPr>
                <w:color w:val="000000"/>
                <w:sz w:val="22"/>
                <w:szCs w:val="22"/>
                <w:vertAlign w:val="superscript"/>
              </w:rPr>
              <w:t xml:space="preserve">3 </w:t>
            </w:r>
            <w:r w:rsidRPr="00752F14">
              <w:rPr>
                <w:color w:val="000000"/>
                <w:sz w:val="22"/>
                <w:szCs w:val="22"/>
              </w:rPr>
              <w:t>Assumes a transition from pre-major to major after semester 3 to calculate total additional costs.</w:t>
            </w:r>
          </w:p>
        </w:tc>
      </w:tr>
      <w:tr w:rsidR="006E3C41" w:rsidRPr="006E3C41" w14:paraId="164D8F74" w14:textId="77777777" w:rsidTr="007D0FCB">
        <w:trPr>
          <w:trHeight w:val="380"/>
        </w:trPr>
        <w:tc>
          <w:tcPr>
            <w:tcW w:w="6740" w:type="dxa"/>
            <w:gridSpan w:val="3"/>
            <w:tcBorders>
              <w:top w:val="nil"/>
              <w:left w:val="nil"/>
              <w:bottom w:val="nil"/>
              <w:right w:val="nil"/>
            </w:tcBorders>
            <w:noWrap/>
            <w:vAlign w:val="bottom"/>
            <w:hideMark/>
          </w:tcPr>
          <w:p w14:paraId="05006D61" w14:textId="77777777" w:rsidR="006E3C41" w:rsidRPr="00752F14" w:rsidRDefault="006E3C41" w:rsidP="006E3C41">
            <w:pPr>
              <w:rPr>
                <w:color w:val="000000"/>
                <w:sz w:val="22"/>
                <w:szCs w:val="22"/>
              </w:rPr>
            </w:pPr>
            <w:r w:rsidRPr="00752F14">
              <w:rPr>
                <w:color w:val="000000"/>
                <w:sz w:val="22"/>
                <w:szCs w:val="22"/>
                <w:vertAlign w:val="superscript"/>
              </w:rPr>
              <w:t xml:space="preserve">4 </w:t>
            </w:r>
            <w:r w:rsidRPr="00752F14">
              <w:rPr>
                <w:color w:val="000000"/>
                <w:sz w:val="22"/>
                <w:szCs w:val="22"/>
              </w:rPr>
              <w:t>Students must complete an average of 73 credits for the business major.</w:t>
            </w:r>
          </w:p>
        </w:tc>
        <w:tc>
          <w:tcPr>
            <w:tcW w:w="1710" w:type="dxa"/>
            <w:tcBorders>
              <w:top w:val="nil"/>
              <w:left w:val="nil"/>
              <w:bottom w:val="nil"/>
              <w:right w:val="nil"/>
            </w:tcBorders>
            <w:noWrap/>
            <w:vAlign w:val="bottom"/>
            <w:hideMark/>
          </w:tcPr>
          <w:p w14:paraId="7C70C4B4" w14:textId="77777777" w:rsidR="006E3C41" w:rsidRPr="00752F14" w:rsidRDefault="006E3C41" w:rsidP="006E3C41">
            <w:pPr>
              <w:rPr>
                <w:color w:val="000000"/>
                <w:sz w:val="22"/>
                <w:szCs w:val="22"/>
              </w:rPr>
            </w:pPr>
          </w:p>
        </w:tc>
        <w:tc>
          <w:tcPr>
            <w:tcW w:w="1260" w:type="dxa"/>
            <w:tcBorders>
              <w:top w:val="nil"/>
              <w:left w:val="nil"/>
              <w:bottom w:val="nil"/>
              <w:right w:val="nil"/>
            </w:tcBorders>
            <w:noWrap/>
            <w:vAlign w:val="bottom"/>
            <w:hideMark/>
          </w:tcPr>
          <w:p w14:paraId="0D371C83" w14:textId="77777777" w:rsidR="006E3C41" w:rsidRPr="006E3C41" w:rsidRDefault="006E3C41" w:rsidP="006E3C41">
            <w:pPr>
              <w:rPr>
                <w:sz w:val="20"/>
                <w:szCs w:val="20"/>
              </w:rPr>
            </w:pPr>
          </w:p>
        </w:tc>
      </w:tr>
      <w:tr w:rsidR="006E3C41" w:rsidRPr="006E3C41" w14:paraId="78C52FDC" w14:textId="77777777" w:rsidTr="007D0FCB">
        <w:trPr>
          <w:trHeight w:val="380"/>
        </w:trPr>
        <w:tc>
          <w:tcPr>
            <w:tcW w:w="8450" w:type="dxa"/>
            <w:gridSpan w:val="4"/>
            <w:tcBorders>
              <w:top w:val="nil"/>
              <w:left w:val="nil"/>
              <w:bottom w:val="nil"/>
              <w:right w:val="nil"/>
            </w:tcBorders>
            <w:noWrap/>
            <w:vAlign w:val="bottom"/>
            <w:hideMark/>
          </w:tcPr>
          <w:p w14:paraId="38852205" w14:textId="77777777" w:rsidR="006E3C41" w:rsidRPr="00752F14" w:rsidRDefault="006E3C41" w:rsidP="006E3C41">
            <w:pPr>
              <w:rPr>
                <w:color w:val="000000"/>
                <w:sz w:val="22"/>
                <w:szCs w:val="22"/>
              </w:rPr>
            </w:pPr>
            <w:r w:rsidRPr="00752F14">
              <w:rPr>
                <w:color w:val="000000"/>
                <w:sz w:val="22"/>
                <w:szCs w:val="22"/>
                <w:vertAlign w:val="superscript"/>
              </w:rPr>
              <w:t xml:space="preserve">5 </w:t>
            </w:r>
            <w:r w:rsidRPr="00752F14">
              <w:rPr>
                <w:color w:val="000000"/>
                <w:sz w:val="22"/>
                <w:szCs w:val="22"/>
              </w:rPr>
              <w:t>Assumes a transition from pre-major to major after sophomore year, as stated is typical.</w:t>
            </w:r>
          </w:p>
        </w:tc>
        <w:tc>
          <w:tcPr>
            <w:tcW w:w="1260" w:type="dxa"/>
            <w:tcBorders>
              <w:top w:val="nil"/>
              <w:left w:val="nil"/>
              <w:bottom w:val="nil"/>
              <w:right w:val="nil"/>
            </w:tcBorders>
            <w:noWrap/>
            <w:vAlign w:val="bottom"/>
            <w:hideMark/>
          </w:tcPr>
          <w:p w14:paraId="6676DB3A" w14:textId="77777777" w:rsidR="006E3C41" w:rsidRPr="006E3C41" w:rsidRDefault="006E3C41" w:rsidP="006E3C41">
            <w:pPr>
              <w:rPr>
                <w:rFonts w:ascii="Aptos Narrow" w:hAnsi="Aptos Narrow"/>
                <w:color w:val="000000"/>
              </w:rPr>
            </w:pPr>
          </w:p>
        </w:tc>
      </w:tr>
    </w:tbl>
    <w:p w14:paraId="2F80466A" w14:textId="663ED643" w:rsidR="00A460C3" w:rsidRDefault="00A460C3">
      <w:pPr>
        <w:rPr>
          <w:sz w:val="22"/>
          <w:szCs w:val="22"/>
        </w:rPr>
      </w:pPr>
    </w:p>
    <w:p w14:paraId="77F9B9DE" w14:textId="65A399CA" w:rsidR="002E2B13" w:rsidRPr="00C607A8" w:rsidRDefault="00E32AE1" w:rsidP="002E2B13">
      <w:pPr>
        <w:rPr>
          <w:b/>
          <w:bCs/>
          <w:i/>
          <w:iCs/>
          <w:sz w:val="22"/>
          <w:szCs w:val="22"/>
        </w:rPr>
      </w:pPr>
      <w:r>
        <w:rPr>
          <w:b/>
          <w:bCs/>
          <w:i/>
          <w:iCs/>
          <w:sz w:val="22"/>
          <w:szCs w:val="22"/>
        </w:rPr>
        <w:t xml:space="preserve">The Ten </w:t>
      </w:r>
      <w:r w:rsidR="002E2B13">
        <w:rPr>
          <w:b/>
          <w:bCs/>
          <w:i/>
          <w:iCs/>
          <w:sz w:val="22"/>
          <w:szCs w:val="22"/>
        </w:rPr>
        <w:t xml:space="preserve">AAU </w:t>
      </w:r>
      <w:r>
        <w:rPr>
          <w:b/>
          <w:bCs/>
          <w:i/>
          <w:iCs/>
          <w:sz w:val="22"/>
          <w:szCs w:val="22"/>
        </w:rPr>
        <w:t xml:space="preserve">Public </w:t>
      </w:r>
      <w:r w:rsidR="002E2B13">
        <w:rPr>
          <w:b/>
          <w:bCs/>
          <w:i/>
          <w:iCs/>
          <w:sz w:val="22"/>
          <w:szCs w:val="22"/>
        </w:rPr>
        <w:t xml:space="preserve">Universities with </w:t>
      </w:r>
      <w:r>
        <w:rPr>
          <w:b/>
          <w:bCs/>
          <w:i/>
          <w:iCs/>
          <w:sz w:val="22"/>
          <w:szCs w:val="22"/>
        </w:rPr>
        <w:t xml:space="preserve">the </w:t>
      </w:r>
      <w:r w:rsidR="002E2B13">
        <w:rPr>
          <w:b/>
          <w:bCs/>
          <w:i/>
          <w:iCs/>
          <w:sz w:val="22"/>
          <w:szCs w:val="22"/>
        </w:rPr>
        <w:t>Lowest Levels of State Support</w:t>
      </w:r>
    </w:p>
    <w:p w14:paraId="5BFABEBB" w14:textId="62D72259" w:rsidR="00EC7661" w:rsidRDefault="002E2B13">
      <w:pPr>
        <w:rPr>
          <w:sz w:val="22"/>
          <w:szCs w:val="22"/>
        </w:rPr>
      </w:pPr>
      <w:r>
        <w:rPr>
          <w:sz w:val="22"/>
          <w:szCs w:val="22"/>
        </w:rPr>
        <w:t xml:space="preserve">The B1G schools are a relatively diverse set of universities in terms of financial context. Some (Northwestern and USC) are private institutions that charge relatively high base tuition levels, while others are public universities with very high levels of state support relative to the UO. </w:t>
      </w:r>
      <w:r w:rsidR="00EC7661">
        <w:rPr>
          <w:sz w:val="22"/>
          <w:szCs w:val="22"/>
        </w:rPr>
        <w:t>For example, data from FY 2022 shows that the University of Minnesota receives $13,335 for each full-time equivalent (FTE) student, while the University of Oregon only receives $3,934 per student FTE</w:t>
      </w:r>
      <w:r w:rsidR="00F91155">
        <w:rPr>
          <w:sz w:val="22"/>
          <w:szCs w:val="22"/>
        </w:rPr>
        <w:t xml:space="preserve">. </w:t>
      </w:r>
      <w:r w:rsidR="00EC7661">
        <w:rPr>
          <w:sz w:val="22"/>
          <w:szCs w:val="22"/>
        </w:rPr>
        <w:t xml:space="preserve">As discussed above, our financial context is an important factor for our differential tuition proposal. </w:t>
      </w:r>
    </w:p>
    <w:p w14:paraId="5C498D5F" w14:textId="77777777" w:rsidR="00EC7661" w:rsidRDefault="00EC7661">
      <w:pPr>
        <w:rPr>
          <w:sz w:val="22"/>
          <w:szCs w:val="22"/>
        </w:rPr>
      </w:pPr>
    </w:p>
    <w:p w14:paraId="16CB045E" w14:textId="674FAE50" w:rsidR="00687C64" w:rsidRDefault="00EC7661">
      <w:pPr>
        <w:rPr>
          <w:sz w:val="22"/>
          <w:szCs w:val="22"/>
        </w:rPr>
      </w:pPr>
      <w:r>
        <w:rPr>
          <w:sz w:val="22"/>
          <w:szCs w:val="22"/>
        </w:rPr>
        <w:t xml:space="preserve">To create a more apples-to-apples comparison, Table 3 provides data on differential tuition for business majors at the </w:t>
      </w:r>
      <w:r w:rsidR="00E32AE1">
        <w:rPr>
          <w:sz w:val="22"/>
          <w:szCs w:val="22"/>
        </w:rPr>
        <w:t xml:space="preserve">ten </w:t>
      </w:r>
      <w:r>
        <w:rPr>
          <w:sz w:val="22"/>
          <w:szCs w:val="22"/>
        </w:rPr>
        <w:t xml:space="preserve">public universities in the American Association of Universities (AAU) that have the lowest level of state support. </w:t>
      </w:r>
      <w:r w:rsidR="00E32AE1">
        <w:rPr>
          <w:sz w:val="22"/>
          <w:szCs w:val="22"/>
        </w:rPr>
        <w:t xml:space="preserve">The table lists these by institution from lowest level of state support per student FTE to highest. </w:t>
      </w:r>
      <w:r>
        <w:rPr>
          <w:sz w:val="22"/>
          <w:szCs w:val="22"/>
        </w:rPr>
        <w:t xml:space="preserve">First, one can see that UO receives the second lowest level of state support across all AAU universities. </w:t>
      </w:r>
      <w:r w:rsidR="005D22C2">
        <w:rPr>
          <w:sz w:val="22"/>
          <w:szCs w:val="22"/>
        </w:rPr>
        <w:t xml:space="preserve">Second, all of these AAU universities with low levels of state support charge differential tuition for business majors and the average is much higher than what we observe across the B1G schools. Within this group, our proposed differential tuition of $50 per credit for business courses </w:t>
      </w:r>
      <w:r w:rsidR="00A2702E">
        <w:rPr>
          <w:sz w:val="22"/>
          <w:szCs w:val="22"/>
        </w:rPr>
        <w:t>equates to</w:t>
      </w:r>
      <w:r w:rsidR="005D22C2">
        <w:rPr>
          <w:sz w:val="22"/>
          <w:szCs w:val="22"/>
        </w:rPr>
        <w:t xml:space="preserve"> less than half </w:t>
      </w:r>
      <w:r w:rsidR="00A2702E">
        <w:rPr>
          <w:sz w:val="22"/>
          <w:szCs w:val="22"/>
        </w:rPr>
        <w:t xml:space="preserve">the cost of </w:t>
      </w:r>
      <w:r w:rsidR="005D22C2">
        <w:rPr>
          <w:sz w:val="22"/>
          <w:szCs w:val="22"/>
        </w:rPr>
        <w:t>these comparators, which is perhaps the most comparable set for the UO in terms of academic quality and financial contex</w:t>
      </w:r>
      <w:r w:rsidR="003A0C5B">
        <w:rPr>
          <w:sz w:val="22"/>
          <w:szCs w:val="22"/>
        </w:rPr>
        <w:t>t.</w:t>
      </w:r>
    </w:p>
    <w:p w14:paraId="6819AA0C" w14:textId="77777777" w:rsidR="00687C64" w:rsidRDefault="00687C64">
      <w:pPr>
        <w:rPr>
          <w:sz w:val="22"/>
          <w:szCs w:val="22"/>
        </w:rPr>
      </w:pPr>
    </w:p>
    <w:tbl>
      <w:tblPr>
        <w:tblW w:w="9800" w:type="dxa"/>
        <w:tblLook w:val="04A0" w:firstRow="1" w:lastRow="0" w:firstColumn="1" w:lastColumn="0" w:noHBand="0" w:noVBand="1"/>
      </w:tblPr>
      <w:tblGrid>
        <w:gridCol w:w="3500"/>
        <w:gridCol w:w="2214"/>
        <w:gridCol w:w="1808"/>
        <w:gridCol w:w="208"/>
        <w:gridCol w:w="2070"/>
      </w:tblGrid>
      <w:tr w:rsidR="00EC7661" w:rsidRPr="00DB0E4C" w14:paraId="5017BDE0" w14:textId="77777777" w:rsidTr="00DB0E4C">
        <w:trPr>
          <w:trHeight w:val="800"/>
        </w:trPr>
        <w:tc>
          <w:tcPr>
            <w:tcW w:w="9800" w:type="dxa"/>
            <w:gridSpan w:val="5"/>
            <w:tcBorders>
              <w:top w:val="nil"/>
              <w:bottom w:val="nil"/>
              <w:right w:val="nil"/>
            </w:tcBorders>
            <w:vAlign w:val="center"/>
            <w:hideMark/>
          </w:tcPr>
          <w:p w14:paraId="1D4DE35A" w14:textId="5FE321EA" w:rsidR="00EC7661" w:rsidRPr="00DB0E4C" w:rsidRDefault="00EC7661">
            <w:pPr>
              <w:jc w:val="center"/>
              <w:rPr>
                <w:b/>
                <w:bCs/>
                <w:color w:val="000000"/>
              </w:rPr>
            </w:pPr>
            <w:r w:rsidRPr="00DB0E4C">
              <w:rPr>
                <w:b/>
                <w:bCs/>
                <w:color w:val="000000"/>
              </w:rPr>
              <w:lastRenderedPageBreak/>
              <w:t xml:space="preserve">Table 3: Differential Tuition Comparators:                                </w:t>
            </w:r>
            <w:r w:rsidR="003E3720" w:rsidRPr="00DB0E4C">
              <w:rPr>
                <w:b/>
                <w:bCs/>
                <w:color w:val="000000"/>
              </w:rPr>
              <w:t xml:space="preserve">                    </w:t>
            </w:r>
            <w:r w:rsidRPr="00DB0E4C">
              <w:rPr>
                <w:b/>
                <w:bCs/>
                <w:color w:val="000000"/>
              </w:rPr>
              <w:t xml:space="preserve">                                                           The Ten AAU Publics with the Lowest Level of State Support</w:t>
            </w:r>
          </w:p>
        </w:tc>
      </w:tr>
      <w:tr w:rsidR="00EC7661" w14:paraId="7BC5666C" w14:textId="77777777" w:rsidTr="00741322">
        <w:trPr>
          <w:trHeight w:val="800"/>
        </w:trPr>
        <w:tc>
          <w:tcPr>
            <w:tcW w:w="3500" w:type="dxa"/>
            <w:tcBorders>
              <w:top w:val="single" w:sz="4" w:space="0" w:color="auto"/>
              <w:left w:val="nil"/>
              <w:bottom w:val="nil"/>
              <w:right w:val="nil"/>
            </w:tcBorders>
            <w:vAlign w:val="center"/>
            <w:hideMark/>
          </w:tcPr>
          <w:p w14:paraId="39DC0D79" w14:textId="77777777" w:rsidR="00EC7661" w:rsidRPr="00752F14" w:rsidRDefault="00EC7661">
            <w:pPr>
              <w:jc w:val="center"/>
              <w:rPr>
                <w:b/>
                <w:bCs/>
                <w:color w:val="000000"/>
                <w:sz w:val="22"/>
                <w:szCs w:val="22"/>
              </w:rPr>
            </w:pPr>
            <w:r w:rsidRPr="00752F14">
              <w:rPr>
                <w:b/>
                <w:bCs/>
                <w:color w:val="000000"/>
                <w:sz w:val="22"/>
                <w:szCs w:val="22"/>
              </w:rPr>
              <w:t> </w:t>
            </w:r>
          </w:p>
        </w:tc>
        <w:tc>
          <w:tcPr>
            <w:tcW w:w="4022" w:type="dxa"/>
            <w:gridSpan w:val="2"/>
            <w:tcBorders>
              <w:top w:val="single" w:sz="4" w:space="0" w:color="auto"/>
              <w:left w:val="nil"/>
              <w:bottom w:val="nil"/>
              <w:right w:val="nil"/>
            </w:tcBorders>
            <w:vAlign w:val="center"/>
            <w:hideMark/>
          </w:tcPr>
          <w:p w14:paraId="49FD9F4B" w14:textId="77777777" w:rsidR="00EC7661" w:rsidRPr="00752F14" w:rsidRDefault="00EC7661">
            <w:pPr>
              <w:jc w:val="center"/>
              <w:rPr>
                <w:b/>
                <w:bCs/>
                <w:color w:val="000000"/>
                <w:sz w:val="22"/>
                <w:szCs w:val="22"/>
              </w:rPr>
            </w:pPr>
            <w:r w:rsidRPr="00752F14">
              <w:rPr>
                <w:b/>
                <w:bCs/>
                <w:color w:val="000000"/>
                <w:sz w:val="22"/>
                <w:szCs w:val="22"/>
              </w:rPr>
              <w:t>Total Additional Costs for Business Major</w:t>
            </w:r>
            <w:r w:rsidRPr="00752F14">
              <w:rPr>
                <w:b/>
                <w:bCs/>
                <w:color w:val="000000"/>
                <w:sz w:val="22"/>
                <w:szCs w:val="22"/>
                <w:vertAlign w:val="superscript"/>
              </w:rPr>
              <w:t>1</w:t>
            </w:r>
          </w:p>
        </w:tc>
        <w:tc>
          <w:tcPr>
            <w:tcW w:w="2278" w:type="dxa"/>
            <w:gridSpan w:val="2"/>
            <w:vMerge w:val="restart"/>
            <w:tcBorders>
              <w:top w:val="single" w:sz="4" w:space="0" w:color="auto"/>
              <w:left w:val="nil"/>
              <w:bottom w:val="double" w:sz="6" w:space="0" w:color="000000"/>
              <w:right w:val="nil"/>
            </w:tcBorders>
            <w:vAlign w:val="center"/>
            <w:hideMark/>
          </w:tcPr>
          <w:p w14:paraId="21D4CCE6" w14:textId="77777777" w:rsidR="00EC7661" w:rsidRPr="00752F14" w:rsidRDefault="00EC7661">
            <w:pPr>
              <w:jc w:val="center"/>
              <w:rPr>
                <w:b/>
                <w:bCs/>
                <w:color w:val="000000"/>
                <w:sz w:val="22"/>
                <w:szCs w:val="22"/>
              </w:rPr>
            </w:pPr>
            <w:r w:rsidRPr="00752F14">
              <w:rPr>
                <w:b/>
                <w:bCs/>
                <w:color w:val="000000"/>
                <w:sz w:val="22"/>
                <w:szCs w:val="22"/>
              </w:rPr>
              <w:t>State Appropriations Per Student FTE (FY2022)</w:t>
            </w:r>
            <w:r w:rsidRPr="00752F14">
              <w:rPr>
                <w:b/>
                <w:bCs/>
                <w:color w:val="000000"/>
                <w:sz w:val="22"/>
                <w:szCs w:val="22"/>
                <w:vertAlign w:val="superscript"/>
              </w:rPr>
              <w:t>2</w:t>
            </w:r>
          </w:p>
        </w:tc>
      </w:tr>
      <w:tr w:rsidR="00EC7661" w14:paraId="2544696A" w14:textId="77777777" w:rsidTr="00741322">
        <w:trPr>
          <w:trHeight w:val="340"/>
        </w:trPr>
        <w:tc>
          <w:tcPr>
            <w:tcW w:w="3500" w:type="dxa"/>
            <w:tcBorders>
              <w:top w:val="nil"/>
              <w:left w:val="nil"/>
              <w:bottom w:val="double" w:sz="6" w:space="0" w:color="auto"/>
              <w:right w:val="nil"/>
            </w:tcBorders>
            <w:noWrap/>
            <w:vAlign w:val="bottom"/>
            <w:hideMark/>
          </w:tcPr>
          <w:p w14:paraId="5EF73964" w14:textId="77777777" w:rsidR="00EC7661" w:rsidRPr="00752F14" w:rsidRDefault="00EC7661">
            <w:pPr>
              <w:rPr>
                <w:color w:val="000000"/>
                <w:sz w:val="22"/>
                <w:szCs w:val="22"/>
              </w:rPr>
            </w:pPr>
            <w:r w:rsidRPr="00752F14">
              <w:rPr>
                <w:color w:val="000000"/>
                <w:sz w:val="22"/>
                <w:szCs w:val="22"/>
              </w:rPr>
              <w:t> </w:t>
            </w:r>
          </w:p>
        </w:tc>
        <w:tc>
          <w:tcPr>
            <w:tcW w:w="2214" w:type="dxa"/>
            <w:tcBorders>
              <w:top w:val="single" w:sz="4" w:space="0" w:color="auto"/>
              <w:left w:val="nil"/>
              <w:bottom w:val="double" w:sz="6" w:space="0" w:color="auto"/>
              <w:right w:val="nil"/>
            </w:tcBorders>
            <w:noWrap/>
            <w:vAlign w:val="center"/>
            <w:hideMark/>
          </w:tcPr>
          <w:p w14:paraId="4D618A6B" w14:textId="77777777" w:rsidR="00EC7661" w:rsidRPr="00752F14" w:rsidRDefault="00EC7661">
            <w:pPr>
              <w:jc w:val="center"/>
              <w:rPr>
                <w:b/>
                <w:bCs/>
                <w:color w:val="000000"/>
                <w:sz w:val="22"/>
                <w:szCs w:val="22"/>
              </w:rPr>
            </w:pPr>
            <w:r w:rsidRPr="00752F14">
              <w:rPr>
                <w:b/>
                <w:bCs/>
                <w:color w:val="000000"/>
                <w:sz w:val="22"/>
                <w:szCs w:val="22"/>
              </w:rPr>
              <w:t>Resident</w:t>
            </w:r>
          </w:p>
        </w:tc>
        <w:tc>
          <w:tcPr>
            <w:tcW w:w="1808" w:type="dxa"/>
            <w:tcBorders>
              <w:top w:val="single" w:sz="4" w:space="0" w:color="auto"/>
              <w:left w:val="nil"/>
              <w:bottom w:val="double" w:sz="6" w:space="0" w:color="auto"/>
              <w:right w:val="nil"/>
            </w:tcBorders>
            <w:noWrap/>
            <w:vAlign w:val="center"/>
            <w:hideMark/>
          </w:tcPr>
          <w:p w14:paraId="32080396" w14:textId="77777777" w:rsidR="00EC7661" w:rsidRPr="00752F14" w:rsidRDefault="00EC7661">
            <w:pPr>
              <w:jc w:val="center"/>
              <w:rPr>
                <w:b/>
                <w:bCs/>
                <w:color w:val="000000"/>
                <w:sz w:val="22"/>
                <w:szCs w:val="22"/>
              </w:rPr>
            </w:pPr>
            <w:r w:rsidRPr="00752F14">
              <w:rPr>
                <w:b/>
                <w:bCs/>
                <w:color w:val="000000"/>
                <w:sz w:val="22"/>
                <w:szCs w:val="22"/>
              </w:rPr>
              <w:t>Non-Resident</w:t>
            </w:r>
          </w:p>
        </w:tc>
        <w:tc>
          <w:tcPr>
            <w:tcW w:w="2278" w:type="dxa"/>
            <w:gridSpan w:val="2"/>
            <w:vMerge/>
            <w:tcBorders>
              <w:top w:val="single" w:sz="4" w:space="0" w:color="auto"/>
              <w:left w:val="nil"/>
              <w:bottom w:val="double" w:sz="6" w:space="0" w:color="000000"/>
              <w:right w:val="nil"/>
            </w:tcBorders>
            <w:vAlign w:val="center"/>
            <w:hideMark/>
          </w:tcPr>
          <w:p w14:paraId="787E6DBA" w14:textId="77777777" w:rsidR="00EC7661" w:rsidRPr="00752F14" w:rsidRDefault="00EC7661">
            <w:pPr>
              <w:rPr>
                <w:b/>
                <w:bCs/>
                <w:color w:val="000000"/>
                <w:sz w:val="22"/>
                <w:szCs w:val="22"/>
              </w:rPr>
            </w:pPr>
          </w:p>
        </w:tc>
      </w:tr>
      <w:tr w:rsidR="00EC7661" w14:paraId="0921987E" w14:textId="77777777" w:rsidTr="00741322">
        <w:trPr>
          <w:trHeight w:val="340"/>
        </w:trPr>
        <w:tc>
          <w:tcPr>
            <w:tcW w:w="3500" w:type="dxa"/>
            <w:tcBorders>
              <w:top w:val="nil"/>
              <w:left w:val="nil"/>
              <w:bottom w:val="nil"/>
              <w:right w:val="nil"/>
            </w:tcBorders>
            <w:vAlign w:val="center"/>
            <w:hideMark/>
          </w:tcPr>
          <w:p w14:paraId="4C8CD01D" w14:textId="77777777" w:rsidR="00EC7661" w:rsidRPr="00752F14" w:rsidRDefault="00EC7661">
            <w:pPr>
              <w:jc w:val="center"/>
              <w:rPr>
                <w:b/>
                <w:bCs/>
                <w:color w:val="000000"/>
                <w:sz w:val="22"/>
                <w:szCs w:val="22"/>
              </w:rPr>
            </w:pPr>
          </w:p>
        </w:tc>
        <w:tc>
          <w:tcPr>
            <w:tcW w:w="2214" w:type="dxa"/>
            <w:tcBorders>
              <w:top w:val="nil"/>
              <w:left w:val="nil"/>
              <w:bottom w:val="nil"/>
              <w:right w:val="nil"/>
            </w:tcBorders>
            <w:noWrap/>
            <w:vAlign w:val="center"/>
            <w:hideMark/>
          </w:tcPr>
          <w:p w14:paraId="5118C2C0" w14:textId="77777777" w:rsidR="00EC7661" w:rsidRPr="00752F14" w:rsidRDefault="00EC7661">
            <w:pPr>
              <w:jc w:val="center"/>
              <w:rPr>
                <w:sz w:val="22"/>
                <w:szCs w:val="22"/>
              </w:rPr>
            </w:pPr>
          </w:p>
        </w:tc>
        <w:tc>
          <w:tcPr>
            <w:tcW w:w="2016" w:type="dxa"/>
            <w:gridSpan w:val="2"/>
            <w:tcBorders>
              <w:top w:val="nil"/>
              <w:left w:val="nil"/>
              <w:bottom w:val="nil"/>
              <w:right w:val="nil"/>
            </w:tcBorders>
            <w:noWrap/>
            <w:vAlign w:val="center"/>
            <w:hideMark/>
          </w:tcPr>
          <w:p w14:paraId="3DF40DE7" w14:textId="77777777" w:rsidR="00EC7661" w:rsidRPr="00752F14" w:rsidRDefault="00EC7661">
            <w:pPr>
              <w:jc w:val="center"/>
              <w:rPr>
                <w:sz w:val="22"/>
                <w:szCs w:val="22"/>
              </w:rPr>
            </w:pPr>
          </w:p>
        </w:tc>
        <w:tc>
          <w:tcPr>
            <w:tcW w:w="2070" w:type="dxa"/>
            <w:tcBorders>
              <w:top w:val="nil"/>
              <w:left w:val="nil"/>
              <w:bottom w:val="nil"/>
              <w:right w:val="nil"/>
            </w:tcBorders>
            <w:vAlign w:val="center"/>
            <w:hideMark/>
          </w:tcPr>
          <w:p w14:paraId="56C61BB3" w14:textId="77777777" w:rsidR="00EC7661" w:rsidRPr="00752F14" w:rsidRDefault="00EC7661">
            <w:pPr>
              <w:jc w:val="center"/>
              <w:rPr>
                <w:sz w:val="22"/>
                <w:szCs w:val="22"/>
              </w:rPr>
            </w:pPr>
          </w:p>
        </w:tc>
      </w:tr>
      <w:tr w:rsidR="00EC7661" w14:paraId="7FCE7FC9" w14:textId="77777777" w:rsidTr="00CC58B5">
        <w:trPr>
          <w:trHeight w:val="340"/>
        </w:trPr>
        <w:tc>
          <w:tcPr>
            <w:tcW w:w="3500" w:type="dxa"/>
            <w:tcBorders>
              <w:top w:val="nil"/>
              <w:left w:val="nil"/>
              <w:bottom w:val="nil"/>
              <w:right w:val="nil"/>
            </w:tcBorders>
            <w:vAlign w:val="center"/>
            <w:hideMark/>
          </w:tcPr>
          <w:p w14:paraId="68E3D3EA" w14:textId="77777777" w:rsidR="00EC7661" w:rsidRPr="00752F14" w:rsidRDefault="00EC7661">
            <w:pPr>
              <w:rPr>
                <w:b/>
                <w:bCs/>
                <w:color w:val="000000"/>
                <w:sz w:val="22"/>
                <w:szCs w:val="22"/>
              </w:rPr>
            </w:pPr>
            <w:r w:rsidRPr="00752F14">
              <w:rPr>
                <w:b/>
                <w:bCs/>
                <w:color w:val="000000"/>
                <w:sz w:val="22"/>
                <w:szCs w:val="22"/>
              </w:rPr>
              <w:t>University of Colorado - Boulder</w:t>
            </w:r>
          </w:p>
        </w:tc>
        <w:tc>
          <w:tcPr>
            <w:tcW w:w="2214" w:type="dxa"/>
            <w:tcBorders>
              <w:top w:val="nil"/>
              <w:left w:val="nil"/>
              <w:bottom w:val="nil"/>
              <w:right w:val="nil"/>
            </w:tcBorders>
            <w:noWrap/>
            <w:vAlign w:val="center"/>
            <w:hideMark/>
          </w:tcPr>
          <w:p w14:paraId="0745B66A" w14:textId="7913EBAF" w:rsidR="00EC7661" w:rsidRPr="00752F14" w:rsidRDefault="00EC7661" w:rsidP="00CC58B5">
            <w:pPr>
              <w:tabs>
                <w:tab w:val="decimal" w:pos="799"/>
              </w:tabs>
              <w:jc w:val="center"/>
              <w:rPr>
                <w:color w:val="000000"/>
                <w:sz w:val="22"/>
                <w:szCs w:val="22"/>
              </w:rPr>
            </w:pPr>
            <w:r w:rsidRPr="00752F14">
              <w:rPr>
                <w:color w:val="000000"/>
                <w:sz w:val="22"/>
                <w:szCs w:val="22"/>
              </w:rPr>
              <w:t>$24,288</w:t>
            </w:r>
          </w:p>
        </w:tc>
        <w:tc>
          <w:tcPr>
            <w:tcW w:w="1808" w:type="dxa"/>
            <w:tcBorders>
              <w:top w:val="nil"/>
              <w:left w:val="nil"/>
              <w:bottom w:val="nil"/>
              <w:right w:val="nil"/>
            </w:tcBorders>
            <w:noWrap/>
            <w:vAlign w:val="center"/>
            <w:hideMark/>
          </w:tcPr>
          <w:p w14:paraId="1873C465" w14:textId="0C4593E9" w:rsidR="00EC7661" w:rsidRPr="00752F14" w:rsidRDefault="00EC7661" w:rsidP="00763740">
            <w:pPr>
              <w:jc w:val="center"/>
              <w:rPr>
                <w:color w:val="000000"/>
                <w:sz w:val="22"/>
                <w:szCs w:val="22"/>
              </w:rPr>
            </w:pPr>
            <w:r w:rsidRPr="00752F14">
              <w:rPr>
                <w:color w:val="000000"/>
                <w:sz w:val="22"/>
                <w:szCs w:val="22"/>
              </w:rPr>
              <w:t>$15,952</w:t>
            </w:r>
          </w:p>
        </w:tc>
        <w:tc>
          <w:tcPr>
            <w:tcW w:w="2278" w:type="dxa"/>
            <w:gridSpan w:val="2"/>
            <w:tcBorders>
              <w:top w:val="nil"/>
              <w:left w:val="nil"/>
              <w:bottom w:val="nil"/>
              <w:right w:val="nil"/>
            </w:tcBorders>
            <w:noWrap/>
            <w:vAlign w:val="center"/>
            <w:hideMark/>
          </w:tcPr>
          <w:p w14:paraId="2C421FE6" w14:textId="77777777" w:rsidR="00EC7661" w:rsidRPr="00752F14" w:rsidRDefault="00EC7661">
            <w:pPr>
              <w:jc w:val="center"/>
              <w:rPr>
                <w:color w:val="000000"/>
                <w:sz w:val="22"/>
                <w:szCs w:val="22"/>
              </w:rPr>
            </w:pPr>
            <w:r w:rsidRPr="00752F14">
              <w:rPr>
                <w:color w:val="000000"/>
                <w:sz w:val="22"/>
                <w:szCs w:val="22"/>
              </w:rPr>
              <w:t xml:space="preserve">$3,163 </w:t>
            </w:r>
          </w:p>
        </w:tc>
      </w:tr>
      <w:tr w:rsidR="00EC7661" w14:paraId="23ADF371" w14:textId="77777777" w:rsidTr="00CC58B5">
        <w:trPr>
          <w:trHeight w:val="400"/>
        </w:trPr>
        <w:tc>
          <w:tcPr>
            <w:tcW w:w="3500" w:type="dxa"/>
            <w:tcBorders>
              <w:top w:val="nil"/>
              <w:left w:val="nil"/>
              <w:bottom w:val="nil"/>
              <w:right w:val="nil"/>
            </w:tcBorders>
            <w:shd w:val="clear" w:color="000000" w:fill="FFFF00"/>
            <w:vAlign w:val="center"/>
            <w:hideMark/>
          </w:tcPr>
          <w:p w14:paraId="30093BEE" w14:textId="77777777" w:rsidR="00EC7661" w:rsidRPr="00752F14" w:rsidRDefault="00EC7661">
            <w:pPr>
              <w:rPr>
                <w:b/>
                <w:bCs/>
                <w:color w:val="000000"/>
                <w:sz w:val="22"/>
                <w:szCs w:val="22"/>
              </w:rPr>
            </w:pPr>
            <w:r w:rsidRPr="00752F14">
              <w:rPr>
                <w:b/>
                <w:bCs/>
                <w:color w:val="000000"/>
                <w:sz w:val="22"/>
                <w:szCs w:val="22"/>
              </w:rPr>
              <w:t>University of Oregon (Proposed)</w:t>
            </w:r>
          </w:p>
        </w:tc>
        <w:tc>
          <w:tcPr>
            <w:tcW w:w="2214" w:type="dxa"/>
            <w:tcBorders>
              <w:top w:val="nil"/>
              <w:left w:val="nil"/>
              <w:bottom w:val="nil"/>
              <w:right w:val="nil"/>
            </w:tcBorders>
            <w:shd w:val="clear" w:color="000000" w:fill="FFFF00"/>
            <w:noWrap/>
            <w:vAlign w:val="center"/>
            <w:hideMark/>
          </w:tcPr>
          <w:p w14:paraId="6D4CE151" w14:textId="6448045E" w:rsidR="00EC7661" w:rsidRPr="00752F14" w:rsidRDefault="00EC7661" w:rsidP="00CC58B5">
            <w:pPr>
              <w:tabs>
                <w:tab w:val="decimal" w:pos="799"/>
              </w:tabs>
              <w:jc w:val="center"/>
              <w:rPr>
                <w:color w:val="000000"/>
                <w:sz w:val="22"/>
                <w:szCs w:val="22"/>
              </w:rPr>
            </w:pPr>
            <w:r w:rsidRPr="00752F14">
              <w:rPr>
                <w:color w:val="000000"/>
                <w:sz w:val="22"/>
                <w:szCs w:val="22"/>
              </w:rPr>
              <w:t>$4,400</w:t>
            </w:r>
          </w:p>
        </w:tc>
        <w:tc>
          <w:tcPr>
            <w:tcW w:w="1808" w:type="dxa"/>
            <w:tcBorders>
              <w:top w:val="nil"/>
              <w:left w:val="nil"/>
              <w:bottom w:val="nil"/>
              <w:right w:val="nil"/>
            </w:tcBorders>
            <w:shd w:val="clear" w:color="000000" w:fill="FFFF00"/>
            <w:noWrap/>
            <w:vAlign w:val="center"/>
            <w:hideMark/>
          </w:tcPr>
          <w:p w14:paraId="396CC1AF" w14:textId="78D95FEF" w:rsidR="00EC7661" w:rsidRPr="00752F14" w:rsidRDefault="00CC58B5" w:rsidP="00763740">
            <w:pPr>
              <w:jc w:val="center"/>
              <w:rPr>
                <w:color w:val="000000"/>
                <w:sz w:val="22"/>
                <w:szCs w:val="22"/>
              </w:rPr>
            </w:pPr>
            <w:r>
              <w:rPr>
                <w:color w:val="000000"/>
                <w:sz w:val="22"/>
                <w:szCs w:val="22"/>
              </w:rPr>
              <w:t xml:space="preserve">  </w:t>
            </w:r>
            <w:r w:rsidR="00EC7661" w:rsidRPr="00752F14">
              <w:rPr>
                <w:color w:val="000000"/>
                <w:sz w:val="22"/>
                <w:szCs w:val="22"/>
              </w:rPr>
              <w:t>$4,400</w:t>
            </w:r>
          </w:p>
        </w:tc>
        <w:tc>
          <w:tcPr>
            <w:tcW w:w="2278" w:type="dxa"/>
            <w:gridSpan w:val="2"/>
            <w:tcBorders>
              <w:top w:val="nil"/>
              <w:left w:val="nil"/>
              <w:bottom w:val="nil"/>
              <w:right w:val="nil"/>
            </w:tcBorders>
            <w:shd w:val="clear" w:color="000000" w:fill="FFFF00"/>
            <w:noWrap/>
            <w:vAlign w:val="center"/>
            <w:hideMark/>
          </w:tcPr>
          <w:p w14:paraId="1C4F2793" w14:textId="77777777" w:rsidR="00EC7661" w:rsidRPr="00752F14" w:rsidRDefault="00EC7661">
            <w:pPr>
              <w:jc w:val="center"/>
              <w:rPr>
                <w:color w:val="000000"/>
                <w:sz w:val="22"/>
                <w:szCs w:val="22"/>
              </w:rPr>
            </w:pPr>
            <w:r w:rsidRPr="00752F14">
              <w:rPr>
                <w:color w:val="000000"/>
                <w:sz w:val="22"/>
                <w:szCs w:val="22"/>
              </w:rPr>
              <w:t xml:space="preserve">$3,934 </w:t>
            </w:r>
          </w:p>
        </w:tc>
      </w:tr>
      <w:tr w:rsidR="00EC7661" w14:paraId="2A66505F" w14:textId="77777777" w:rsidTr="00CC58B5">
        <w:trPr>
          <w:trHeight w:val="340"/>
        </w:trPr>
        <w:tc>
          <w:tcPr>
            <w:tcW w:w="3500" w:type="dxa"/>
            <w:tcBorders>
              <w:top w:val="nil"/>
              <w:left w:val="nil"/>
              <w:bottom w:val="nil"/>
              <w:right w:val="nil"/>
            </w:tcBorders>
            <w:vAlign w:val="center"/>
            <w:hideMark/>
          </w:tcPr>
          <w:p w14:paraId="63610300" w14:textId="77777777" w:rsidR="00EC7661" w:rsidRPr="00752F14" w:rsidRDefault="00EC7661">
            <w:pPr>
              <w:rPr>
                <w:b/>
                <w:bCs/>
                <w:color w:val="000000"/>
                <w:sz w:val="22"/>
                <w:szCs w:val="22"/>
              </w:rPr>
            </w:pPr>
            <w:r w:rsidRPr="00752F14">
              <w:rPr>
                <w:b/>
                <w:bCs/>
                <w:color w:val="000000"/>
                <w:sz w:val="22"/>
                <w:szCs w:val="22"/>
              </w:rPr>
              <w:t>Arizona State University</w:t>
            </w:r>
          </w:p>
        </w:tc>
        <w:tc>
          <w:tcPr>
            <w:tcW w:w="2214" w:type="dxa"/>
            <w:tcBorders>
              <w:top w:val="nil"/>
              <w:left w:val="nil"/>
              <w:bottom w:val="nil"/>
              <w:right w:val="nil"/>
            </w:tcBorders>
            <w:noWrap/>
            <w:vAlign w:val="center"/>
            <w:hideMark/>
          </w:tcPr>
          <w:p w14:paraId="1BBD05BF" w14:textId="5C89524E" w:rsidR="00EC7661" w:rsidRPr="00752F14" w:rsidRDefault="00EC7661" w:rsidP="00CC58B5">
            <w:pPr>
              <w:tabs>
                <w:tab w:val="decimal" w:pos="799"/>
              </w:tabs>
              <w:jc w:val="center"/>
              <w:rPr>
                <w:color w:val="000000"/>
                <w:sz w:val="22"/>
                <w:szCs w:val="22"/>
              </w:rPr>
            </w:pPr>
            <w:r w:rsidRPr="00752F14">
              <w:rPr>
                <w:color w:val="000000"/>
                <w:sz w:val="22"/>
                <w:szCs w:val="22"/>
              </w:rPr>
              <w:t>$4,960</w:t>
            </w:r>
          </w:p>
        </w:tc>
        <w:tc>
          <w:tcPr>
            <w:tcW w:w="1808" w:type="dxa"/>
            <w:tcBorders>
              <w:top w:val="nil"/>
              <w:left w:val="nil"/>
              <w:bottom w:val="nil"/>
              <w:right w:val="nil"/>
            </w:tcBorders>
            <w:noWrap/>
            <w:vAlign w:val="center"/>
            <w:hideMark/>
          </w:tcPr>
          <w:p w14:paraId="3D9235B2" w14:textId="78C9ABDB" w:rsidR="00EC7661" w:rsidRPr="00752F14" w:rsidRDefault="00CC58B5" w:rsidP="00763740">
            <w:pPr>
              <w:jc w:val="center"/>
              <w:rPr>
                <w:color w:val="000000"/>
                <w:sz w:val="22"/>
                <w:szCs w:val="22"/>
              </w:rPr>
            </w:pPr>
            <w:r>
              <w:rPr>
                <w:color w:val="000000"/>
                <w:sz w:val="22"/>
                <w:szCs w:val="22"/>
              </w:rPr>
              <w:t xml:space="preserve">  </w:t>
            </w:r>
            <w:r w:rsidR="00EC7661" w:rsidRPr="00752F14">
              <w:rPr>
                <w:color w:val="000000"/>
                <w:sz w:val="22"/>
                <w:szCs w:val="22"/>
              </w:rPr>
              <w:t>$8,520</w:t>
            </w:r>
          </w:p>
        </w:tc>
        <w:tc>
          <w:tcPr>
            <w:tcW w:w="2278" w:type="dxa"/>
            <w:gridSpan w:val="2"/>
            <w:tcBorders>
              <w:top w:val="nil"/>
              <w:left w:val="nil"/>
              <w:bottom w:val="nil"/>
              <w:right w:val="nil"/>
            </w:tcBorders>
            <w:noWrap/>
            <w:vAlign w:val="center"/>
            <w:hideMark/>
          </w:tcPr>
          <w:p w14:paraId="2D22C82E" w14:textId="77777777" w:rsidR="00EC7661" w:rsidRPr="00752F14" w:rsidRDefault="00EC7661">
            <w:pPr>
              <w:jc w:val="center"/>
              <w:rPr>
                <w:color w:val="000000"/>
                <w:sz w:val="22"/>
                <w:szCs w:val="22"/>
              </w:rPr>
            </w:pPr>
            <w:r w:rsidRPr="00752F14">
              <w:rPr>
                <w:color w:val="000000"/>
                <w:sz w:val="22"/>
                <w:szCs w:val="22"/>
              </w:rPr>
              <w:t xml:space="preserve">$4,933 </w:t>
            </w:r>
          </w:p>
        </w:tc>
      </w:tr>
      <w:tr w:rsidR="00EC7661" w14:paraId="1C111550" w14:textId="77777777" w:rsidTr="00CC58B5">
        <w:trPr>
          <w:trHeight w:val="340"/>
        </w:trPr>
        <w:tc>
          <w:tcPr>
            <w:tcW w:w="3500" w:type="dxa"/>
            <w:tcBorders>
              <w:top w:val="nil"/>
              <w:left w:val="nil"/>
              <w:bottom w:val="nil"/>
              <w:right w:val="nil"/>
            </w:tcBorders>
            <w:vAlign w:val="center"/>
            <w:hideMark/>
          </w:tcPr>
          <w:p w14:paraId="3226272D" w14:textId="77777777" w:rsidR="00EC7661" w:rsidRPr="00752F14" w:rsidRDefault="00EC7661">
            <w:pPr>
              <w:rPr>
                <w:b/>
                <w:bCs/>
                <w:color w:val="000000"/>
                <w:sz w:val="22"/>
                <w:szCs w:val="22"/>
              </w:rPr>
            </w:pPr>
            <w:r w:rsidRPr="00752F14">
              <w:rPr>
                <w:b/>
                <w:bCs/>
                <w:color w:val="000000"/>
                <w:sz w:val="22"/>
                <w:szCs w:val="22"/>
              </w:rPr>
              <w:t>University of Illinois</w:t>
            </w:r>
          </w:p>
        </w:tc>
        <w:tc>
          <w:tcPr>
            <w:tcW w:w="2214" w:type="dxa"/>
            <w:tcBorders>
              <w:top w:val="nil"/>
              <w:left w:val="nil"/>
              <w:bottom w:val="nil"/>
              <w:right w:val="nil"/>
            </w:tcBorders>
            <w:noWrap/>
            <w:vAlign w:val="center"/>
            <w:hideMark/>
          </w:tcPr>
          <w:p w14:paraId="7CB9BAF1" w14:textId="52478C51" w:rsidR="00EC7661" w:rsidRPr="00752F14" w:rsidRDefault="00EC7661" w:rsidP="00CC58B5">
            <w:pPr>
              <w:tabs>
                <w:tab w:val="decimal" w:pos="799"/>
              </w:tabs>
              <w:jc w:val="center"/>
              <w:rPr>
                <w:color w:val="000000"/>
                <w:sz w:val="22"/>
                <w:szCs w:val="22"/>
              </w:rPr>
            </w:pPr>
            <w:r w:rsidRPr="00752F14">
              <w:rPr>
                <w:color w:val="000000"/>
                <w:sz w:val="22"/>
                <w:szCs w:val="22"/>
              </w:rPr>
              <w:t>$10,760</w:t>
            </w:r>
          </w:p>
        </w:tc>
        <w:tc>
          <w:tcPr>
            <w:tcW w:w="1808" w:type="dxa"/>
            <w:tcBorders>
              <w:top w:val="nil"/>
              <w:left w:val="nil"/>
              <w:bottom w:val="nil"/>
              <w:right w:val="nil"/>
            </w:tcBorders>
            <w:noWrap/>
            <w:vAlign w:val="center"/>
            <w:hideMark/>
          </w:tcPr>
          <w:p w14:paraId="7C45A855" w14:textId="1DDED9A4" w:rsidR="00EC7661" w:rsidRPr="00752F14" w:rsidRDefault="00EC7661" w:rsidP="00763740">
            <w:pPr>
              <w:jc w:val="center"/>
              <w:rPr>
                <w:color w:val="000000"/>
                <w:sz w:val="22"/>
                <w:szCs w:val="22"/>
              </w:rPr>
            </w:pPr>
            <w:r w:rsidRPr="00752F14">
              <w:rPr>
                <w:color w:val="000000"/>
                <w:sz w:val="22"/>
                <w:szCs w:val="22"/>
              </w:rPr>
              <w:t>$10,760</w:t>
            </w:r>
          </w:p>
        </w:tc>
        <w:tc>
          <w:tcPr>
            <w:tcW w:w="2278" w:type="dxa"/>
            <w:gridSpan w:val="2"/>
            <w:tcBorders>
              <w:top w:val="nil"/>
              <w:left w:val="nil"/>
              <w:bottom w:val="nil"/>
              <w:right w:val="nil"/>
            </w:tcBorders>
            <w:noWrap/>
            <w:vAlign w:val="center"/>
            <w:hideMark/>
          </w:tcPr>
          <w:p w14:paraId="1757BD97" w14:textId="77777777" w:rsidR="00EC7661" w:rsidRPr="00752F14" w:rsidRDefault="00EC7661">
            <w:pPr>
              <w:jc w:val="center"/>
              <w:rPr>
                <w:color w:val="000000"/>
                <w:sz w:val="22"/>
                <w:szCs w:val="22"/>
              </w:rPr>
            </w:pPr>
            <w:r w:rsidRPr="00752F14">
              <w:rPr>
                <w:color w:val="000000"/>
                <w:sz w:val="22"/>
                <w:szCs w:val="22"/>
              </w:rPr>
              <w:t xml:space="preserve">$4,936 </w:t>
            </w:r>
          </w:p>
        </w:tc>
      </w:tr>
      <w:tr w:rsidR="00EC7661" w14:paraId="17BA8AC3" w14:textId="77777777" w:rsidTr="00CC58B5">
        <w:trPr>
          <w:trHeight w:val="340"/>
        </w:trPr>
        <w:tc>
          <w:tcPr>
            <w:tcW w:w="3500" w:type="dxa"/>
            <w:tcBorders>
              <w:top w:val="nil"/>
              <w:left w:val="nil"/>
              <w:bottom w:val="nil"/>
              <w:right w:val="nil"/>
            </w:tcBorders>
            <w:vAlign w:val="center"/>
            <w:hideMark/>
          </w:tcPr>
          <w:p w14:paraId="566B4E2A" w14:textId="3CA33502" w:rsidR="00EC7661" w:rsidRPr="00752F14" w:rsidRDefault="00B7019F">
            <w:pPr>
              <w:rPr>
                <w:b/>
                <w:bCs/>
                <w:color w:val="000000"/>
                <w:sz w:val="22"/>
                <w:szCs w:val="22"/>
              </w:rPr>
            </w:pPr>
            <w:r w:rsidRPr="00752F14">
              <w:rPr>
                <w:b/>
                <w:bCs/>
                <w:color w:val="000000"/>
                <w:sz w:val="22"/>
                <w:szCs w:val="22"/>
              </w:rPr>
              <w:t>Indiana University</w:t>
            </w:r>
          </w:p>
        </w:tc>
        <w:tc>
          <w:tcPr>
            <w:tcW w:w="2214" w:type="dxa"/>
            <w:tcBorders>
              <w:top w:val="nil"/>
              <w:left w:val="nil"/>
              <w:bottom w:val="nil"/>
              <w:right w:val="nil"/>
            </w:tcBorders>
            <w:noWrap/>
            <w:vAlign w:val="center"/>
            <w:hideMark/>
          </w:tcPr>
          <w:p w14:paraId="6DA2929F" w14:textId="095036BB" w:rsidR="00EC7661" w:rsidRPr="00752F14" w:rsidRDefault="00EC7661" w:rsidP="00CC58B5">
            <w:pPr>
              <w:tabs>
                <w:tab w:val="decimal" w:pos="799"/>
              </w:tabs>
              <w:jc w:val="center"/>
              <w:rPr>
                <w:color w:val="000000"/>
                <w:sz w:val="22"/>
                <w:szCs w:val="22"/>
              </w:rPr>
            </w:pPr>
            <w:r w:rsidRPr="00752F14">
              <w:rPr>
                <w:color w:val="000000"/>
                <w:sz w:val="22"/>
                <w:szCs w:val="22"/>
              </w:rPr>
              <w:t>$5,038</w:t>
            </w:r>
          </w:p>
        </w:tc>
        <w:tc>
          <w:tcPr>
            <w:tcW w:w="1808" w:type="dxa"/>
            <w:tcBorders>
              <w:top w:val="nil"/>
              <w:left w:val="nil"/>
              <w:bottom w:val="nil"/>
              <w:right w:val="nil"/>
            </w:tcBorders>
            <w:noWrap/>
            <w:vAlign w:val="center"/>
            <w:hideMark/>
          </w:tcPr>
          <w:p w14:paraId="10DFD726" w14:textId="171A92A0" w:rsidR="00EC7661" w:rsidRPr="00752F14" w:rsidRDefault="00CC58B5" w:rsidP="00763740">
            <w:pPr>
              <w:jc w:val="center"/>
              <w:rPr>
                <w:color w:val="000000"/>
                <w:sz w:val="22"/>
                <w:szCs w:val="22"/>
              </w:rPr>
            </w:pPr>
            <w:r>
              <w:rPr>
                <w:color w:val="000000"/>
                <w:sz w:val="22"/>
                <w:szCs w:val="22"/>
              </w:rPr>
              <w:t xml:space="preserve">  </w:t>
            </w:r>
            <w:r w:rsidR="00EC7661" w:rsidRPr="00752F14">
              <w:rPr>
                <w:color w:val="000000"/>
                <w:sz w:val="22"/>
                <w:szCs w:val="22"/>
              </w:rPr>
              <w:t>$5,038</w:t>
            </w:r>
          </w:p>
        </w:tc>
        <w:tc>
          <w:tcPr>
            <w:tcW w:w="2278" w:type="dxa"/>
            <w:gridSpan w:val="2"/>
            <w:tcBorders>
              <w:top w:val="nil"/>
              <w:left w:val="nil"/>
              <w:bottom w:val="nil"/>
              <w:right w:val="nil"/>
            </w:tcBorders>
            <w:noWrap/>
            <w:vAlign w:val="center"/>
            <w:hideMark/>
          </w:tcPr>
          <w:p w14:paraId="764D8A2B" w14:textId="77777777" w:rsidR="00EC7661" w:rsidRPr="00752F14" w:rsidRDefault="00EC7661">
            <w:pPr>
              <w:jc w:val="center"/>
              <w:rPr>
                <w:color w:val="000000"/>
                <w:sz w:val="22"/>
                <w:szCs w:val="22"/>
              </w:rPr>
            </w:pPr>
            <w:r w:rsidRPr="00752F14">
              <w:rPr>
                <w:color w:val="000000"/>
                <w:sz w:val="22"/>
                <w:szCs w:val="22"/>
              </w:rPr>
              <w:t xml:space="preserve">$4,942 </w:t>
            </w:r>
          </w:p>
        </w:tc>
      </w:tr>
      <w:tr w:rsidR="00EC7661" w14:paraId="2DBA2F21" w14:textId="77777777" w:rsidTr="00CC58B5">
        <w:trPr>
          <w:trHeight w:val="340"/>
        </w:trPr>
        <w:tc>
          <w:tcPr>
            <w:tcW w:w="3500" w:type="dxa"/>
            <w:tcBorders>
              <w:top w:val="nil"/>
              <w:left w:val="nil"/>
              <w:bottom w:val="nil"/>
              <w:right w:val="nil"/>
            </w:tcBorders>
            <w:vAlign w:val="center"/>
            <w:hideMark/>
          </w:tcPr>
          <w:p w14:paraId="6A6A06F8" w14:textId="77777777" w:rsidR="00EC7661" w:rsidRPr="00752F14" w:rsidRDefault="00EC7661">
            <w:pPr>
              <w:rPr>
                <w:b/>
                <w:bCs/>
                <w:color w:val="000000"/>
                <w:sz w:val="22"/>
                <w:szCs w:val="22"/>
              </w:rPr>
            </w:pPr>
            <w:r w:rsidRPr="00752F14">
              <w:rPr>
                <w:b/>
                <w:bCs/>
                <w:color w:val="000000"/>
                <w:sz w:val="22"/>
                <w:szCs w:val="22"/>
              </w:rPr>
              <w:t>Purdue University</w:t>
            </w:r>
          </w:p>
        </w:tc>
        <w:tc>
          <w:tcPr>
            <w:tcW w:w="2214" w:type="dxa"/>
            <w:tcBorders>
              <w:top w:val="nil"/>
              <w:left w:val="nil"/>
              <w:bottom w:val="nil"/>
              <w:right w:val="nil"/>
            </w:tcBorders>
            <w:noWrap/>
            <w:vAlign w:val="center"/>
            <w:hideMark/>
          </w:tcPr>
          <w:p w14:paraId="009A57C7" w14:textId="58CE2AF1" w:rsidR="00EC7661" w:rsidRPr="00752F14" w:rsidRDefault="00EC7661" w:rsidP="00CC58B5">
            <w:pPr>
              <w:tabs>
                <w:tab w:val="decimal" w:pos="799"/>
              </w:tabs>
              <w:jc w:val="center"/>
              <w:rPr>
                <w:color w:val="000000"/>
                <w:sz w:val="22"/>
                <w:szCs w:val="22"/>
              </w:rPr>
            </w:pPr>
            <w:r w:rsidRPr="00752F14">
              <w:rPr>
                <w:color w:val="000000"/>
                <w:sz w:val="22"/>
                <w:szCs w:val="22"/>
              </w:rPr>
              <w:t>$3,590</w:t>
            </w:r>
          </w:p>
        </w:tc>
        <w:tc>
          <w:tcPr>
            <w:tcW w:w="1808" w:type="dxa"/>
            <w:tcBorders>
              <w:top w:val="nil"/>
              <w:left w:val="nil"/>
              <w:bottom w:val="nil"/>
              <w:right w:val="nil"/>
            </w:tcBorders>
            <w:noWrap/>
            <w:vAlign w:val="center"/>
            <w:hideMark/>
          </w:tcPr>
          <w:p w14:paraId="3C260E30" w14:textId="1B4F43A7" w:rsidR="00EC7661" w:rsidRPr="00752F14" w:rsidRDefault="00CC58B5" w:rsidP="00763740">
            <w:pPr>
              <w:jc w:val="center"/>
              <w:rPr>
                <w:color w:val="000000"/>
                <w:sz w:val="22"/>
                <w:szCs w:val="22"/>
              </w:rPr>
            </w:pPr>
            <w:r>
              <w:rPr>
                <w:color w:val="000000"/>
                <w:sz w:val="22"/>
                <w:szCs w:val="22"/>
              </w:rPr>
              <w:t xml:space="preserve">  </w:t>
            </w:r>
            <w:r w:rsidR="00EC7661" w:rsidRPr="00752F14">
              <w:rPr>
                <w:color w:val="000000"/>
                <w:sz w:val="22"/>
                <w:szCs w:val="22"/>
              </w:rPr>
              <w:t>$3,590</w:t>
            </w:r>
          </w:p>
        </w:tc>
        <w:tc>
          <w:tcPr>
            <w:tcW w:w="2278" w:type="dxa"/>
            <w:gridSpan w:val="2"/>
            <w:tcBorders>
              <w:top w:val="nil"/>
              <w:left w:val="nil"/>
              <w:bottom w:val="nil"/>
              <w:right w:val="nil"/>
            </w:tcBorders>
            <w:noWrap/>
            <w:vAlign w:val="center"/>
            <w:hideMark/>
          </w:tcPr>
          <w:p w14:paraId="1AFB1751" w14:textId="77777777" w:rsidR="00EC7661" w:rsidRPr="00752F14" w:rsidRDefault="00EC7661">
            <w:pPr>
              <w:jc w:val="center"/>
              <w:rPr>
                <w:color w:val="000000"/>
                <w:sz w:val="22"/>
                <w:szCs w:val="22"/>
              </w:rPr>
            </w:pPr>
            <w:r w:rsidRPr="00752F14">
              <w:rPr>
                <w:color w:val="000000"/>
                <w:sz w:val="22"/>
                <w:szCs w:val="22"/>
              </w:rPr>
              <w:t xml:space="preserve">$6,299 </w:t>
            </w:r>
          </w:p>
        </w:tc>
      </w:tr>
      <w:tr w:rsidR="00EC7661" w14:paraId="0A9C3754" w14:textId="77777777" w:rsidTr="00CC58B5">
        <w:trPr>
          <w:trHeight w:val="340"/>
        </w:trPr>
        <w:tc>
          <w:tcPr>
            <w:tcW w:w="3500" w:type="dxa"/>
            <w:tcBorders>
              <w:top w:val="nil"/>
              <w:left w:val="nil"/>
              <w:bottom w:val="nil"/>
              <w:right w:val="nil"/>
            </w:tcBorders>
            <w:vAlign w:val="center"/>
            <w:hideMark/>
          </w:tcPr>
          <w:p w14:paraId="5AAEE160" w14:textId="77777777" w:rsidR="00EC7661" w:rsidRPr="00752F14" w:rsidRDefault="00EC7661">
            <w:pPr>
              <w:rPr>
                <w:b/>
                <w:bCs/>
                <w:color w:val="000000"/>
                <w:sz w:val="22"/>
                <w:szCs w:val="22"/>
              </w:rPr>
            </w:pPr>
            <w:r w:rsidRPr="00752F14">
              <w:rPr>
                <w:b/>
                <w:bCs/>
                <w:color w:val="000000"/>
                <w:sz w:val="22"/>
                <w:szCs w:val="22"/>
              </w:rPr>
              <w:t>University of Michigan</w:t>
            </w:r>
          </w:p>
        </w:tc>
        <w:tc>
          <w:tcPr>
            <w:tcW w:w="2214" w:type="dxa"/>
            <w:tcBorders>
              <w:top w:val="nil"/>
              <w:left w:val="nil"/>
              <w:bottom w:val="nil"/>
              <w:right w:val="nil"/>
            </w:tcBorders>
            <w:noWrap/>
            <w:vAlign w:val="center"/>
            <w:hideMark/>
          </w:tcPr>
          <w:p w14:paraId="0208F84B" w14:textId="0670577E" w:rsidR="00EC7661" w:rsidRPr="00752F14" w:rsidRDefault="00EC7661" w:rsidP="00CC58B5">
            <w:pPr>
              <w:tabs>
                <w:tab w:val="decimal" w:pos="799"/>
              </w:tabs>
              <w:jc w:val="center"/>
              <w:rPr>
                <w:color w:val="000000"/>
                <w:sz w:val="22"/>
                <w:szCs w:val="22"/>
              </w:rPr>
            </w:pPr>
            <w:r w:rsidRPr="00752F14">
              <w:rPr>
                <w:color w:val="000000"/>
                <w:sz w:val="22"/>
                <w:szCs w:val="22"/>
              </w:rPr>
              <w:t>$9,904</w:t>
            </w:r>
          </w:p>
        </w:tc>
        <w:tc>
          <w:tcPr>
            <w:tcW w:w="1808" w:type="dxa"/>
            <w:tcBorders>
              <w:top w:val="nil"/>
              <w:left w:val="nil"/>
              <w:bottom w:val="nil"/>
              <w:right w:val="nil"/>
            </w:tcBorders>
            <w:noWrap/>
            <w:vAlign w:val="center"/>
            <w:hideMark/>
          </w:tcPr>
          <w:p w14:paraId="2D2A159C" w14:textId="1ED940BC" w:rsidR="00EC7661" w:rsidRPr="00752F14" w:rsidRDefault="00EC7661" w:rsidP="00763740">
            <w:pPr>
              <w:jc w:val="center"/>
              <w:rPr>
                <w:color w:val="000000"/>
                <w:sz w:val="22"/>
                <w:szCs w:val="22"/>
              </w:rPr>
            </w:pPr>
            <w:r w:rsidRPr="00752F14">
              <w:rPr>
                <w:color w:val="000000"/>
                <w:sz w:val="22"/>
                <w:szCs w:val="22"/>
              </w:rPr>
              <w:t>$10,792</w:t>
            </w:r>
          </w:p>
        </w:tc>
        <w:tc>
          <w:tcPr>
            <w:tcW w:w="2278" w:type="dxa"/>
            <w:gridSpan w:val="2"/>
            <w:tcBorders>
              <w:top w:val="nil"/>
              <w:left w:val="nil"/>
              <w:bottom w:val="nil"/>
              <w:right w:val="nil"/>
            </w:tcBorders>
            <w:noWrap/>
            <w:vAlign w:val="center"/>
            <w:hideMark/>
          </w:tcPr>
          <w:p w14:paraId="428BDCA3" w14:textId="77777777" w:rsidR="00EC7661" w:rsidRPr="00752F14" w:rsidRDefault="00EC7661">
            <w:pPr>
              <w:jc w:val="center"/>
              <w:rPr>
                <w:color w:val="000000"/>
                <w:sz w:val="22"/>
                <w:szCs w:val="22"/>
              </w:rPr>
            </w:pPr>
            <w:r w:rsidRPr="00752F14">
              <w:rPr>
                <w:color w:val="000000"/>
                <w:sz w:val="22"/>
                <w:szCs w:val="22"/>
              </w:rPr>
              <w:t xml:space="preserve">$6,536 </w:t>
            </w:r>
          </w:p>
        </w:tc>
      </w:tr>
      <w:tr w:rsidR="00EC7661" w14:paraId="45BE66A2" w14:textId="77777777" w:rsidTr="00CC58B5">
        <w:trPr>
          <w:trHeight w:val="340"/>
        </w:trPr>
        <w:tc>
          <w:tcPr>
            <w:tcW w:w="3500" w:type="dxa"/>
            <w:tcBorders>
              <w:top w:val="nil"/>
              <w:left w:val="nil"/>
              <w:bottom w:val="nil"/>
              <w:right w:val="nil"/>
            </w:tcBorders>
            <w:vAlign w:val="center"/>
            <w:hideMark/>
          </w:tcPr>
          <w:p w14:paraId="26034A63" w14:textId="77777777" w:rsidR="00EC7661" w:rsidRPr="00752F14" w:rsidRDefault="00EC7661">
            <w:pPr>
              <w:rPr>
                <w:b/>
                <w:bCs/>
                <w:color w:val="000000"/>
                <w:sz w:val="22"/>
                <w:szCs w:val="22"/>
              </w:rPr>
            </w:pPr>
            <w:r w:rsidRPr="00752F14">
              <w:rPr>
                <w:b/>
                <w:bCs/>
                <w:color w:val="000000"/>
                <w:sz w:val="22"/>
                <w:szCs w:val="22"/>
              </w:rPr>
              <w:t>Michigan State University</w:t>
            </w:r>
          </w:p>
        </w:tc>
        <w:tc>
          <w:tcPr>
            <w:tcW w:w="2214" w:type="dxa"/>
            <w:tcBorders>
              <w:top w:val="nil"/>
              <w:left w:val="nil"/>
              <w:bottom w:val="nil"/>
              <w:right w:val="nil"/>
            </w:tcBorders>
            <w:noWrap/>
            <w:vAlign w:val="center"/>
            <w:hideMark/>
          </w:tcPr>
          <w:p w14:paraId="67498CA2" w14:textId="0F953C79" w:rsidR="00EC7661" w:rsidRPr="00752F14" w:rsidRDefault="00EC7661" w:rsidP="00CC58B5">
            <w:pPr>
              <w:tabs>
                <w:tab w:val="decimal" w:pos="799"/>
              </w:tabs>
              <w:jc w:val="center"/>
              <w:rPr>
                <w:color w:val="000000"/>
                <w:sz w:val="22"/>
                <w:szCs w:val="22"/>
              </w:rPr>
            </w:pPr>
            <w:r w:rsidRPr="00752F14">
              <w:rPr>
                <w:color w:val="000000"/>
                <w:sz w:val="22"/>
                <w:szCs w:val="22"/>
              </w:rPr>
              <w:t>$1,172</w:t>
            </w:r>
          </w:p>
        </w:tc>
        <w:tc>
          <w:tcPr>
            <w:tcW w:w="1808" w:type="dxa"/>
            <w:tcBorders>
              <w:top w:val="nil"/>
              <w:left w:val="nil"/>
              <w:bottom w:val="nil"/>
              <w:right w:val="nil"/>
            </w:tcBorders>
            <w:noWrap/>
            <w:vAlign w:val="center"/>
            <w:hideMark/>
          </w:tcPr>
          <w:p w14:paraId="0BA5066F" w14:textId="03A84F08" w:rsidR="00EC7661" w:rsidRPr="00752F14" w:rsidRDefault="00CC58B5" w:rsidP="00763740">
            <w:pPr>
              <w:jc w:val="center"/>
              <w:rPr>
                <w:color w:val="000000"/>
                <w:sz w:val="22"/>
                <w:szCs w:val="22"/>
              </w:rPr>
            </w:pPr>
            <w:r>
              <w:rPr>
                <w:color w:val="000000"/>
                <w:sz w:val="22"/>
                <w:szCs w:val="22"/>
              </w:rPr>
              <w:t xml:space="preserve">  </w:t>
            </w:r>
            <w:r w:rsidR="00EC7661" w:rsidRPr="00752F14">
              <w:rPr>
                <w:color w:val="000000"/>
                <w:sz w:val="22"/>
                <w:szCs w:val="22"/>
              </w:rPr>
              <w:t>$1,236</w:t>
            </w:r>
          </w:p>
        </w:tc>
        <w:tc>
          <w:tcPr>
            <w:tcW w:w="2278" w:type="dxa"/>
            <w:gridSpan w:val="2"/>
            <w:tcBorders>
              <w:top w:val="nil"/>
              <w:left w:val="nil"/>
              <w:bottom w:val="nil"/>
              <w:right w:val="nil"/>
            </w:tcBorders>
            <w:noWrap/>
            <w:vAlign w:val="center"/>
            <w:hideMark/>
          </w:tcPr>
          <w:p w14:paraId="54F49329" w14:textId="77777777" w:rsidR="00EC7661" w:rsidRPr="00752F14" w:rsidRDefault="00EC7661">
            <w:pPr>
              <w:jc w:val="center"/>
              <w:rPr>
                <w:color w:val="000000"/>
                <w:sz w:val="22"/>
                <w:szCs w:val="22"/>
              </w:rPr>
            </w:pPr>
            <w:r w:rsidRPr="00752F14">
              <w:rPr>
                <w:color w:val="000000"/>
                <w:sz w:val="22"/>
                <w:szCs w:val="22"/>
              </w:rPr>
              <w:t xml:space="preserve">$6,597 </w:t>
            </w:r>
          </w:p>
        </w:tc>
      </w:tr>
      <w:tr w:rsidR="00EC7661" w14:paraId="07E956EF" w14:textId="77777777" w:rsidTr="00CC58B5">
        <w:trPr>
          <w:trHeight w:val="340"/>
        </w:trPr>
        <w:tc>
          <w:tcPr>
            <w:tcW w:w="3500" w:type="dxa"/>
            <w:tcBorders>
              <w:top w:val="nil"/>
              <w:left w:val="nil"/>
              <w:bottom w:val="nil"/>
              <w:right w:val="nil"/>
            </w:tcBorders>
            <w:vAlign w:val="center"/>
            <w:hideMark/>
          </w:tcPr>
          <w:p w14:paraId="34742D6B" w14:textId="77777777" w:rsidR="00EC7661" w:rsidRPr="00752F14" w:rsidRDefault="00EC7661">
            <w:pPr>
              <w:rPr>
                <w:b/>
                <w:bCs/>
                <w:color w:val="000000"/>
                <w:sz w:val="22"/>
                <w:szCs w:val="22"/>
              </w:rPr>
            </w:pPr>
            <w:r w:rsidRPr="00752F14">
              <w:rPr>
                <w:b/>
                <w:bCs/>
                <w:color w:val="000000"/>
                <w:sz w:val="22"/>
                <w:szCs w:val="22"/>
              </w:rPr>
              <w:t>University of Virgina</w:t>
            </w:r>
          </w:p>
        </w:tc>
        <w:tc>
          <w:tcPr>
            <w:tcW w:w="2214" w:type="dxa"/>
            <w:tcBorders>
              <w:top w:val="nil"/>
              <w:left w:val="nil"/>
              <w:bottom w:val="nil"/>
              <w:right w:val="nil"/>
            </w:tcBorders>
            <w:noWrap/>
            <w:vAlign w:val="bottom"/>
            <w:hideMark/>
          </w:tcPr>
          <w:p w14:paraId="67FF302B" w14:textId="38721976" w:rsidR="00EC7661" w:rsidRPr="00752F14" w:rsidRDefault="00EC7661" w:rsidP="00CC58B5">
            <w:pPr>
              <w:tabs>
                <w:tab w:val="decimal" w:pos="799"/>
              </w:tabs>
              <w:jc w:val="center"/>
              <w:rPr>
                <w:color w:val="000000"/>
                <w:sz w:val="22"/>
                <w:szCs w:val="22"/>
              </w:rPr>
            </w:pPr>
            <w:r w:rsidRPr="00752F14">
              <w:rPr>
                <w:color w:val="000000"/>
                <w:sz w:val="22"/>
                <w:szCs w:val="22"/>
              </w:rPr>
              <w:t>$24,280</w:t>
            </w:r>
          </w:p>
        </w:tc>
        <w:tc>
          <w:tcPr>
            <w:tcW w:w="1808" w:type="dxa"/>
            <w:tcBorders>
              <w:top w:val="nil"/>
              <w:left w:val="nil"/>
              <w:bottom w:val="nil"/>
              <w:right w:val="nil"/>
            </w:tcBorders>
            <w:noWrap/>
            <w:vAlign w:val="bottom"/>
            <w:hideMark/>
          </w:tcPr>
          <w:p w14:paraId="43E7DAB5" w14:textId="0C478821" w:rsidR="00EC7661" w:rsidRPr="00752F14" w:rsidRDefault="00EC7661" w:rsidP="00763740">
            <w:pPr>
              <w:jc w:val="center"/>
              <w:rPr>
                <w:color w:val="000000"/>
                <w:sz w:val="22"/>
                <w:szCs w:val="22"/>
              </w:rPr>
            </w:pPr>
            <w:r w:rsidRPr="00752F14">
              <w:rPr>
                <w:color w:val="000000"/>
                <w:sz w:val="22"/>
                <w:szCs w:val="22"/>
              </w:rPr>
              <w:t>$25,356</w:t>
            </w:r>
          </w:p>
        </w:tc>
        <w:tc>
          <w:tcPr>
            <w:tcW w:w="2278" w:type="dxa"/>
            <w:gridSpan w:val="2"/>
            <w:tcBorders>
              <w:top w:val="nil"/>
              <w:left w:val="nil"/>
              <w:bottom w:val="nil"/>
              <w:right w:val="nil"/>
            </w:tcBorders>
            <w:noWrap/>
            <w:vAlign w:val="center"/>
            <w:hideMark/>
          </w:tcPr>
          <w:p w14:paraId="30BE199D" w14:textId="77777777" w:rsidR="00EC7661" w:rsidRPr="00752F14" w:rsidRDefault="00EC7661">
            <w:pPr>
              <w:jc w:val="center"/>
              <w:rPr>
                <w:color w:val="000000"/>
                <w:sz w:val="22"/>
                <w:szCs w:val="22"/>
              </w:rPr>
            </w:pPr>
            <w:r w:rsidRPr="00752F14">
              <w:rPr>
                <w:color w:val="000000"/>
                <w:sz w:val="22"/>
                <w:szCs w:val="22"/>
              </w:rPr>
              <w:t xml:space="preserve">$6,835 </w:t>
            </w:r>
          </w:p>
        </w:tc>
      </w:tr>
      <w:tr w:rsidR="00EC7661" w14:paraId="5454A505" w14:textId="77777777" w:rsidTr="00CC58B5">
        <w:trPr>
          <w:trHeight w:val="340"/>
        </w:trPr>
        <w:tc>
          <w:tcPr>
            <w:tcW w:w="3500" w:type="dxa"/>
            <w:tcBorders>
              <w:top w:val="nil"/>
              <w:left w:val="nil"/>
              <w:bottom w:val="nil"/>
              <w:right w:val="nil"/>
            </w:tcBorders>
            <w:vAlign w:val="center"/>
            <w:hideMark/>
          </w:tcPr>
          <w:p w14:paraId="1DB8B976" w14:textId="77777777" w:rsidR="00EC7661" w:rsidRPr="00752F14" w:rsidRDefault="00EC7661">
            <w:pPr>
              <w:rPr>
                <w:b/>
                <w:bCs/>
                <w:color w:val="000000"/>
                <w:sz w:val="22"/>
                <w:szCs w:val="22"/>
              </w:rPr>
            </w:pPr>
            <w:r w:rsidRPr="00752F14">
              <w:rPr>
                <w:b/>
                <w:bCs/>
                <w:color w:val="000000"/>
                <w:sz w:val="22"/>
                <w:szCs w:val="22"/>
              </w:rPr>
              <w:t>University of Arizona</w:t>
            </w:r>
          </w:p>
        </w:tc>
        <w:tc>
          <w:tcPr>
            <w:tcW w:w="2214" w:type="dxa"/>
            <w:tcBorders>
              <w:top w:val="nil"/>
              <w:left w:val="nil"/>
              <w:bottom w:val="nil"/>
              <w:right w:val="nil"/>
            </w:tcBorders>
            <w:noWrap/>
            <w:vAlign w:val="center"/>
            <w:hideMark/>
          </w:tcPr>
          <w:p w14:paraId="52AFA4E7" w14:textId="2F3E1FAC" w:rsidR="00EC7661" w:rsidRPr="00752F14" w:rsidRDefault="00EC7661" w:rsidP="00CC58B5">
            <w:pPr>
              <w:tabs>
                <w:tab w:val="decimal" w:pos="799"/>
              </w:tabs>
              <w:jc w:val="center"/>
              <w:rPr>
                <w:color w:val="000000"/>
                <w:sz w:val="22"/>
                <w:szCs w:val="22"/>
              </w:rPr>
            </w:pPr>
            <w:r w:rsidRPr="00752F14">
              <w:rPr>
                <w:color w:val="000000"/>
                <w:sz w:val="22"/>
                <w:szCs w:val="22"/>
              </w:rPr>
              <w:t>$5,625</w:t>
            </w:r>
          </w:p>
        </w:tc>
        <w:tc>
          <w:tcPr>
            <w:tcW w:w="1808" w:type="dxa"/>
            <w:tcBorders>
              <w:top w:val="nil"/>
              <w:left w:val="nil"/>
              <w:bottom w:val="nil"/>
              <w:right w:val="nil"/>
            </w:tcBorders>
            <w:noWrap/>
            <w:vAlign w:val="center"/>
            <w:hideMark/>
          </w:tcPr>
          <w:p w14:paraId="3756253C" w14:textId="122C919F" w:rsidR="00EC7661" w:rsidRPr="00752F14" w:rsidRDefault="00CC58B5" w:rsidP="00763740">
            <w:pPr>
              <w:jc w:val="center"/>
              <w:rPr>
                <w:color w:val="000000"/>
                <w:sz w:val="22"/>
                <w:szCs w:val="22"/>
              </w:rPr>
            </w:pPr>
            <w:r>
              <w:rPr>
                <w:color w:val="000000"/>
                <w:sz w:val="22"/>
                <w:szCs w:val="22"/>
              </w:rPr>
              <w:t xml:space="preserve">  </w:t>
            </w:r>
            <w:r w:rsidR="00EC7661" w:rsidRPr="00752F14">
              <w:rPr>
                <w:color w:val="000000"/>
                <w:sz w:val="22"/>
                <w:szCs w:val="22"/>
              </w:rPr>
              <w:t>$8,100</w:t>
            </w:r>
          </w:p>
        </w:tc>
        <w:tc>
          <w:tcPr>
            <w:tcW w:w="2278" w:type="dxa"/>
            <w:gridSpan w:val="2"/>
            <w:tcBorders>
              <w:top w:val="nil"/>
              <w:left w:val="nil"/>
              <w:bottom w:val="nil"/>
              <w:right w:val="nil"/>
            </w:tcBorders>
            <w:noWrap/>
            <w:vAlign w:val="center"/>
            <w:hideMark/>
          </w:tcPr>
          <w:p w14:paraId="7EDF372D" w14:textId="77777777" w:rsidR="00EC7661" w:rsidRPr="00752F14" w:rsidRDefault="00EC7661">
            <w:pPr>
              <w:jc w:val="center"/>
              <w:rPr>
                <w:color w:val="000000"/>
                <w:sz w:val="22"/>
                <w:szCs w:val="22"/>
              </w:rPr>
            </w:pPr>
            <w:r w:rsidRPr="00752F14">
              <w:rPr>
                <w:color w:val="000000"/>
                <w:sz w:val="22"/>
                <w:szCs w:val="22"/>
              </w:rPr>
              <w:t xml:space="preserve">$7,691 </w:t>
            </w:r>
          </w:p>
        </w:tc>
      </w:tr>
      <w:tr w:rsidR="00EC7661" w14:paraId="1C12838C" w14:textId="77777777" w:rsidTr="00741322">
        <w:trPr>
          <w:trHeight w:val="320"/>
        </w:trPr>
        <w:tc>
          <w:tcPr>
            <w:tcW w:w="3500" w:type="dxa"/>
            <w:tcBorders>
              <w:top w:val="nil"/>
              <w:left w:val="nil"/>
              <w:bottom w:val="nil"/>
              <w:right w:val="nil"/>
            </w:tcBorders>
            <w:noWrap/>
            <w:vAlign w:val="bottom"/>
            <w:hideMark/>
          </w:tcPr>
          <w:p w14:paraId="4E4B8B67" w14:textId="77777777" w:rsidR="00EC7661" w:rsidRPr="00752F14" w:rsidRDefault="00EC7661">
            <w:pPr>
              <w:jc w:val="center"/>
              <w:rPr>
                <w:color w:val="000000"/>
                <w:sz w:val="22"/>
                <w:szCs w:val="22"/>
              </w:rPr>
            </w:pPr>
          </w:p>
        </w:tc>
        <w:tc>
          <w:tcPr>
            <w:tcW w:w="2214" w:type="dxa"/>
            <w:tcBorders>
              <w:top w:val="nil"/>
              <w:left w:val="nil"/>
              <w:bottom w:val="nil"/>
              <w:right w:val="nil"/>
            </w:tcBorders>
            <w:noWrap/>
            <w:vAlign w:val="bottom"/>
            <w:hideMark/>
          </w:tcPr>
          <w:p w14:paraId="432FDF69" w14:textId="77777777" w:rsidR="00EC7661" w:rsidRPr="00752F14" w:rsidRDefault="00EC7661">
            <w:pPr>
              <w:rPr>
                <w:sz w:val="22"/>
                <w:szCs w:val="22"/>
              </w:rPr>
            </w:pPr>
          </w:p>
        </w:tc>
        <w:tc>
          <w:tcPr>
            <w:tcW w:w="1808" w:type="dxa"/>
            <w:tcBorders>
              <w:top w:val="nil"/>
              <w:left w:val="nil"/>
              <w:bottom w:val="nil"/>
              <w:right w:val="nil"/>
            </w:tcBorders>
            <w:noWrap/>
            <w:vAlign w:val="bottom"/>
            <w:hideMark/>
          </w:tcPr>
          <w:p w14:paraId="1E9A95B0" w14:textId="77777777" w:rsidR="00EC7661" w:rsidRPr="00752F14" w:rsidRDefault="00EC7661">
            <w:pPr>
              <w:jc w:val="center"/>
              <w:rPr>
                <w:sz w:val="22"/>
                <w:szCs w:val="22"/>
              </w:rPr>
            </w:pPr>
          </w:p>
        </w:tc>
        <w:tc>
          <w:tcPr>
            <w:tcW w:w="2278" w:type="dxa"/>
            <w:gridSpan w:val="2"/>
            <w:tcBorders>
              <w:top w:val="nil"/>
              <w:left w:val="nil"/>
              <w:bottom w:val="nil"/>
              <w:right w:val="nil"/>
            </w:tcBorders>
            <w:noWrap/>
            <w:vAlign w:val="bottom"/>
            <w:hideMark/>
          </w:tcPr>
          <w:p w14:paraId="2B6D52E9" w14:textId="77777777" w:rsidR="00EC7661" w:rsidRPr="00752F14" w:rsidRDefault="00EC7661">
            <w:pPr>
              <w:jc w:val="center"/>
              <w:rPr>
                <w:sz w:val="22"/>
                <w:szCs w:val="22"/>
              </w:rPr>
            </w:pPr>
          </w:p>
        </w:tc>
      </w:tr>
      <w:tr w:rsidR="00EC7661" w14:paraId="0522C577" w14:textId="77777777" w:rsidTr="00741322">
        <w:trPr>
          <w:trHeight w:val="340"/>
        </w:trPr>
        <w:tc>
          <w:tcPr>
            <w:tcW w:w="3500" w:type="dxa"/>
            <w:tcBorders>
              <w:top w:val="nil"/>
              <w:left w:val="nil"/>
              <w:bottom w:val="single" w:sz="4" w:space="0" w:color="auto"/>
              <w:right w:val="nil"/>
            </w:tcBorders>
            <w:vAlign w:val="center"/>
            <w:hideMark/>
          </w:tcPr>
          <w:p w14:paraId="0D4D4F9B" w14:textId="77777777" w:rsidR="00EC7661" w:rsidRPr="00752F14" w:rsidRDefault="00EC7661">
            <w:pPr>
              <w:rPr>
                <w:b/>
                <w:bCs/>
                <w:color w:val="000000"/>
                <w:sz w:val="22"/>
                <w:szCs w:val="22"/>
              </w:rPr>
            </w:pPr>
            <w:r w:rsidRPr="00752F14">
              <w:rPr>
                <w:b/>
                <w:bCs/>
                <w:color w:val="000000"/>
                <w:sz w:val="22"/>
                <w:szCs w:val="22"/>
              </w:rPr>
              <w:t xml:space="preserve">  Average (excluding UO)</w:t>
            </w:r>
          </w:p>
        </w:tc>
        <w:tc>
          <w:tcPr>
            <w:tcW w:w="2214" w:type="dxa"/>
            <w:tcBorders>
              <w:top w:val="nil"/>
              <w:left w:val="nil"/>
              <w:bottom w:val="single" w:sz="4" w:space="0" w:color="auto"/>
              <w:right w:val="nil"/>
            </w:tcBorders>
            <w:noWrap/>
            <w:vAlign w:val="center"/>
            <w:hideMark/>
          </w:tcPr>
          <w:p w14:paraId="69F39432" w14:textId="6C07555C" w:rsidR="00EC7661" w:rsidRPr="00752F14" w:rsidRDefault="00CC58B5">
            <w:pPr>
              <w:jc w:val="center"/>
              <w:rPr>
                <w:b/>
                <w:bCs/>
                <w:color w:val="000000"/>
                <w:sz w:val="22"/>
                <w:szCs w:val="22"/>
              </w:rPr>
            </w:pPr>
            <w:r>
              <w:rPr>
                <w:b/>
                <w:bCs/>
                <w:color w:val="000000"/>
                <w:sz w:val="22"/>
                <w:szCs w:val="22"/>
              </w:rPr>
              <w:t xml:space="preserve">  </w:t>
            </w:r>
            <w:r w:rsidR="00EC7661" w:rsidRPr="00752F14">
              <w:rPr>
                <w:b/>
                <w:bCs/>
                <w:color w:val="000000"/>
                <w:sz w:val="22"/>
                <w:szCs w:val="22"/>
              </w:rPr>
              <w:t xml:space="preserve">$9,957 </w:t>
            </w:r>
          </w:p>
        </w:tc>
        <w:tc>
          <w:tcPr>
            <w:tcW w:w="1808" w:type="dxa"/>
            <w:tcBorders>
              <w:top w:val="nil"/>
              <w:left w:val="nil"/>
              <w:bottom w:val="single" w:sz="4" w:space="0" w:color="auto"/>
              <w:right w:val="nil"/>
            </w:tcBorders>
            <w:noWrap/>
            <w:vAlign w:val="center"/>
            <w:hideMark/>
          </w:tcPr>
          <w:p w14:paraId="4089266B" w14:textId="3F2211D0" w:rsidR="00EC7661" w:rsidRPr="00752F14" w:rsidRDefault="00CC58B5">
            <w:pPr>
              <w:jc w:val="center"/>
              <w:rPr>
                <w:b/>
                <w:bCs/>
                <w:color w:val="000000"/>
                <w:sz w:val="22"/>
                <w:szCs w:val="22"/>
              </w:rPr>
            </w:pPr>
            <w:r>
              <w:rPr>
                <w:b/>
                <w:bCs/>
                <w:color w:val="000000"/>
                <w:sz w:val="22"/>
                <w:szCs w:val="22"/>
              </w:rPr>
              <w:t xml:space="preserve">  </w:t>
            </w:r>
            <w:r w:rsidR="00EC7661" w:rsidRPr="00752F14">
              <w:rPr>
                <w:b/>
                <w:bCs/>
                <w:color w:val="000000"/>
                <w:sz w:val="22"/>
                <w:szCs w:val="22"/>
              </w:rPr>
              <w:t xml:space="preserve">$9,927 </w:t>
            </w:r>
          </w:p>
        </w:tc>
        <w:tc>
          <w:tcPr>
            <w:tcW w:w="2278" w:type="dxa"/>
            <w:gridSpan w:val="2"/>
            <w:tcBorders>
              <w:top w:val="nil"/>
              <w:left w:val="nil"/>
              <w:bottom w:val="single" w:sz="4" w:space="0" w:color="auto"/>
              <w:right w:val="nil"/>
            </w:tcBorders>
            <w:noWrap/>
            <w:vAlign w:val="center"/>
            <w:hideMark/>
          </w:tcPr>
          <w:p w14:paraId="6893B20F" w14:textId="77777777" w:rsidR="00EC7661" w:rsidRPr="00752F14" w:rsidRDefault="00EC7661">
            <w:pPr>
              <w:jc w:val="center"/>
              <w:rPr>
                <w:b/>
                <w:bCs/>
                <w:color w:val="000000"/>
                <w:sz w:val="22"/>
                <w:szCs w:val="22"/>
              </w:rPr>
            </w:pPr>
            <w:r w:rsidRPr="00752F14">
              <w:rPr>
                <w:b/>
                <w:bCs/>
                <w:color w:val="000000"/>
                <w:sz w:val="22"/>
                <w:szCs w:val="22"/>
              </w:rPr>
              <w:t xml:space="preserve">$6,262 </w:t>
            </w:r>
          </w:p>
        </w:tc>
      </w:tr>
      <w:tr w:rsidR="00EC7661" w14:paraId="660FF1EC" w14:textId="77777777" w:rsidTr="00741322">
        <w:trPr>
          <w:trHeight w:val="380"/>
        </w:trPr>
        <w:tc>
          <w:tcPr>
            <w:tcW w:w="7522" w:type="dxa"/>
            <w:gridSpan w:val="3"/>
            <w:tcBorders>
              <w:top w:val="nil"/>
              <w:left w:val="nil"/>
              <w:bottom w:val="nil"/>
              <w:right w:val="nil"/>
            </w:tcBorders>
            <w:noWrap/>
            <w:vAlign w:val="bottom"/>
            <w:hideMark/>
          </w:tcPr>
          <w:p w14:paraId="21FE1BCE" w14:textId="77777777" w:rsidR="00EC7661" w:rsidRPr="00752F14" w:rsidRDefault="00EC7661">
            <w:pPr>
              <w:rPr>
                <w:color w:val="000000"/>
                <w:sz w:val="22"/>
                <w:szCs w:val="22"/>
              </w:rPr>
            </w:pPr>
            <w:r w:rsidRPr="00752F14">
              <w:rPr>
                <w:color w:val="000000"/>
                <w:sz w:val="22"/>
                <w:szCs w:val="22"/>
                <w:vertAlign w:val="superscript"/>
              </w:rPr>
              <w:t xml:space="preserve">1 </w:t>
            </w:r>
            <w:r w:rsidRPr="00752F14">
              <w:rPr>
                <w:color w:val="000000"/>
                <w:sz w:val="22"/>
                <w:szCs w:val="22"/>
              </w:rPr>
              <w:t>Relative to costs for a major in the College of Arts and Sciences (or equivalent).</w:t>
            </w:r>
          </w:p>
        </w:tc>
        <w:tc>
          <w:tcPr>
            <w:tcW w:w="2278" w:type="dxa"/>
            <w:gridSpan w:val="2"/>
            <w:tcBorders>
              <w:top w:val="nil"/>
              <w:left w:val="nil"/>
              <w:bottom w:val="nil"/>
              <w:right w:val="nil"/>
            </w:tcBorders>
            <w:noWrap/>
            <w:vAlign w:val="bottom"/>
            <w:hideMark/>
          </w:tcPr>
          <w:p w14:paraId="2C7D82CE" w14:textId="77777777" w:rsidR="00EC7661" w:rsidRPr="00752F14" w:rsidRDefault="00EC7661">
            <w:pPr>
              <w:rPr>
                <w:color w:val="000000"/>
                <w:sz w:val="22"/>
                <w:szCs w:val="22"/>
              </w:rPr>
            </w:pPr>
          </w:p>
        </w:tc>
      </w:tr>
      <w:tr w:rsidR="00EC7661" w14:paraId="49AFFEF3" w14:textId="77777777" w:rsidTr="00741322">
        <w:trPr>
          <w:trHeight w:val="380"/>
        </w:trPr>
        <w:tc>
          <w:tcPr>
            <w:tcW w:w="7522" w:type="dxa"/>
            <w:gridSpan w:val="3"/>
            <w:tcBorders>
              <w:top w:val="nil"/>
              <w:left w:val="nil"/>
              <w:bottom w:val="nil"/>
              <w:right w:val="nil"/>
            </w:tcBorders>
            <w:noWrap/>
            <w:vAlign w:val="bottom"/>
            <w:hideMark/>
          </w:tcPr>
          <w:p w14:paraId="0CC0E9D1" w14:textId="77777777" w:rsidR="00EC7661" w:rsidRPr="00752F14" w:rsidRDefault="00EC7661">
            <w:pPr>
              <w:rPr>
                <w:color w:val="000000"/>
                <w:sz w:val="22"/>
                <w:szCs w:val="22"/>
              </w:rPr>
            </w:pPr>
            <w:r w:rsidRPr="00752F14">
              <w:rPr>
                <w:color w:val="000000"/>
                <w:sz w:val="22"/>
                <w:szCs w:val="22"/>
                <w:vertAlign w:val="superscript"/>
              </w:rPr>
              <w:t xml:space="preserve">2 </w:t>
            </w:r>
            <w:r w:rsidRPr="00752F14">
              <w:rPr>
                <w:color w:val="000000"/>
                <w:sz w:val="22"/>
                <w:szCs w:val="22"/>
              </w:rPr>
              <w:t>Data from https://vpfa.uoregon.edu/tuition/aau-comparators.</w:t>
            </w:r>
          </w:p>
        </w:tc>
        <w:tc>
          <w:tcPr>
            <w:tcW w:w="2278" w:type="dxa"/>
            <w:gridSpan w:val="2"/>
            <w:tcBorders>
              <w:top w:val="nil"/>
              <w:left w:val="nil"/>
              <w:bottom w:val="nil"/>
              <w:right w:val="nil"/>
            </w:tcBorders>
            <w:noWrap/>
            <w:vAlign w:val="bottom"/>
            <w:hideMark/>
          </w:tcPr>
          <w:p w14:paraId="5FD6ACCC" w14:textId="77777777" w:rsidR="00EC7661" w:rsidRDefault="00EC7661">
            <w:pPr>
              <w:rPr>
                <w:rFonts w:ascii="Aptos Narrow" w:hAnsi="Aptos Narrow"/>
                <w:color w:val="000000"/>
              </w:rPr>
            </w:pPr>
          </w:p>
        </w:tc>
      </w:tr>
      <w:tr w:rsidR="00EC7661" w14:paraId="1AEE0E1A" w14:textId="77777777" w:rsidTr="00741322">
        <w:trPr>
          <w:trHeight w:val="320"/>
        </w:trPr>
        <w:tc>
          <w:tcPr>
            <w:tcW w:w="9800" w:type="dxa"/>
            <w:gridSpan w:val="5"/>
            <w:tcBorders>
              <w:top w:val="nil"/>
              <w:left w:val="nil"/>
              <w:bottom w:val="nil"/>
              <w:right w:val="nil"/>
            </w:tcBorders>
            <w:hideMark/>
          </w:tcPr>
          <w:p w14:paraId="7FD49F3E" w14:textId="77777777" w:rsidR="00EC7661" w:rsidRPr="00752F14" w:rsidRDefault="00EC7661">
            <w:pPr>
              <w:rPr>
                <w:color w:val="000000"/>
                <w:sz w:val="22"/>
                <w:szCs w:val="22"/>
              </w:rPr>
            </w:pPr>
            <w:r w:rsidRPr="00752F14">
              <w:rPr>
                <w:b/>
                <w:bCs/>
                <w:color w:val="000000"/>
                <w:sz w:val="22"/>
                <w:szCs w:val="22"/>
                <w:u w:val="single"/>
              </w:rPr>
              <w:t>Note 1:</w:t>
            </w:r>
            <w:r w:rsidRPr="00752F14">
              <w:rPr>
                <w:color w:val="000000"/>
                <w:sz w:val="22"/>
                <w:szCs w:val="22"/>
              </w:rPr>
              <w:t xml:space="preserve"> Total additional costs calculated for each school using the same assumptions as used in Table 2.</w:t>
            </w:r>
          </w:p>
        </w:tc>
      </w:tr>
      <w:tr w:rsidR="00EC7661" w14:paraId="4205B75E" w14:textId="77777777" w:rsidTr="00741322">
        <w:trPr>
          <w:trHeight w:val="1680"/>
        </w:trPr>
        <w:tc>
          <w:tcPr>
            <w:tcW w:w="9800" w:type="dxa"/>
            <w:gridSpan w:val="5"/>
            <w:tcBorders>
              <w:top w:val="nil"/>
              <w:left w:val="nil"/>
              <w:bottom w:val="nil"/>
              <w:right w:val="nil"/>
            </w:tcBorders>
            <w:hideMark/>
          </w:tcPr>
          <w:p w14:paraId="399FC999" w14:textId="00EDA19F" w:rsidR="00EC7661" w:rsidRPr="00752F14" w:rsidRDefault="00EC7661">
            <w:pPr>
              <w:rPr>
                <w:color w:val="000000"/>
                <w:sz w:val="22"/>
                <w:szCs w:val="22"/>
              </w:rPr>
            </w:pPr>
            <w:r w:rsidRPr="00752F14">
              <w:rPr>
                <w:b/>
                <w:bCs/>
                <w:color w:val="000000"/>
                <w:sz w:val="22"/>
                <w:szCs w:val="22"/>
                <w:u w:val="single"/>
              </w:rPr>
              <w:t>Note 2:</w:t>
            </w:r>
            <w:r w:rsidRPr="00752F14">
              <w:rPr>
                <w:color w:val="000000"/>
                <w:sz w:val="22"/>
                <w:szCs w:val="22"/>
              </w:rPr>
              <w:t xml:space="preserve"> Pennsylvania State University and University of Pittsburgh are excluded because they have different state funding mechanisms</w:t>
            </w:r>
            <w:r w:rsidR="00F91155" w:rsidRPr="00752F14">
              <w:rPr>
                <w:color w:val="000000"/>
                <w:sz w:val="22"/>
                <w:szCs w:val="22"/>
              </w:rPr>
              <w:t xml:space="preserve">. </w:t>
            </w:r>
            <w:r w:rsidRPr="00752F14">
              <w:rPr>
                <w:color w:val="000000"/>
                <w:sz w:val="22"/>
                <w:szCs w:val="22"/>
              </w:rPr>
              <w:t>Estimates would put them in this group of public AAU universities with lowest state support and they both have differential tuition for the business school majors, with residents paying $8</w:t>
            </w:r>
            <w:r w:rsidR="00DB59E1">
              <w:rPr>
                <w:color w:val="000000"/>
                <w:sz w:val="22"/>
                <w:szCs w:val="22"/>
              </w:rPr>
              <w:t>,</w:t>
            </w:r>
            <w:r w:rsidRPr="00752F14">
              <w:rPr>
                <w:color w:val="000000"/>
                <w:sz w:val="22"/>
                <w:szCs w:val="22"/>
              </w:rPr>
              <w:t>348 and $7</w:t>
            </w:r>
            <w:r w:rsidR="00DB59E1">
              <w:rPr>
                <w:color w:val="000000"/>
                <w:sz w:val="22"/>
                <w:szCs w:val="22"/>
              </w:rPr>
              <w:t>,</w:t>
            </w:r>
            <w:r w:rsidRPr="00752F14">
              <w:rPr>
                <w:color w:val="000000"/>
                <w:sz w:val="22"/>
                <w:szCs w:val="22"/>
              </w:rPr>
              <w:t>362 more for their business major at Penn State and Pittsburgh, respectively, and non-residents paying $11,236 and $15,822, respectively.</w:t>
            </w:r>
          </w:p>
        </w:tc>
      </w:tr>
    </w:tbl>
    <w:p w14:paraId="60AC1C2D" w14:textId="77777777" w:rsidR="00C26821" w:rsidRPr="0065313E" w:rsidRDefault="00C26821" w:rsidP="002E2B13">
      <w:pPr>
        <w:rPr>
          <w:sz w:val="22"/>
          <w:szCs w:val="22"/>
        </w:rPr>
      </w:pPr>
    </w:p>
    <w:sectPr w:rsidR="00C26821" w:rsidRPr="0065313E" w:rsidSect="00F361A8">
      <w:footerReference w:type="default" r:id="rId6"/>
      <w:footerReference w:type="first" r:id="rId7"/>
      <w:pgSz w:w="12240" w:h="15840"/>
      <w:pgMar w:top="1440" w:right="1080" w:bottom="126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A52E8" w14:textId="77777777" w:rsidR="007C2215" w:rsidRDefault="007C2215" w:rsidP="005C7A2A">
      <w:r>
        <w:separator/>
      </w:r>
    </w:p>
  </w:endnote>
  <w:endnote w:type="continuationSeparator" w:id="0">
    <w:p w14:paraId="1B0002D1" w14:textId="77777777" w:rsidR="007C2215" w:rsidRDefault="007C2215" w:rsidP="005C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1257446"/>
      <w:docPartObj>
        <w:docPartGallery w:val="Page Numbers (Bottom of Page)"/>
        <w:docPartUnique/>
      </w:docPartObj>
    </w:sdtPr>
    <w:sdtEndPr>
      <w:rPr>
        <w:noProof/>
      </w:rPr>
    </w:sdtEndPr>
    <w:sdtContent>
      <w:p w14:paraId="7EFBD8B4" w14:textId="322FA1D4" w:rsidR="005C7A2A" w:rsidRDefault="005C7A2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709E672" w14:textId="77777777" w:rsidR="005C7A2A" w:rsidRDefault="005C7A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8925" w14:textId="1095A595" w:rsidR="00647911" w:rsidRPr="007E0B7E" w:rsidRDefault="00647911" w:rsidP="00647911">
    <w:pPr>
      <w:rPr>
        <w:sz w:val="20"/>
        <w:szCs w:val="20"/>
      </w:rPr>
    </w:pPr>
    <w:r w:rsidRPr="00647911">
      <w:rPr>
        <w:vertAlign w:val="superscript"/>
      </w:rPr>
      <w:t>1</w:t>
    </w:r>
    <w:r>
      <w:rPr>
        <w:vertAlign w:val="superscript"/>
      </w:rPr>
      <w:t xml:space="preserve"> </w:t>
    </w:r>
    <w:r w:rsidR="00EF6A87" w:rsidRPr="007E0B7E">
      <w:rPr>
        <w:sz w:val="20"/>
        <w:szCs w:val="20"/>
      </w:rPr>
      <w:t>Based on data</w:t>
    </w:r>
    <w:r w:rsidR="00151F00" w:rsidRPr="007E0B7E">
      <w:rPr>
        <w:sz w:val="20"/>
        <w:szCs w:val="20"/>
      </w:rPr>
      <w:t xml:space="preserve"> related to </w:t>
    </w:r>
    <w:r w:rsidRPr="007E0B7E">
      <w:rPr>
        <w:sz w:val="20"/>
        <w:szCs w:val="20"/>
      </w:rPr>
      <w:t xml:space="preserve">Kelchen, R. (2025). Examining the Effects of Differential Tuition Policies on Bachelor’s Degree Completions. </w:t>
    </w:r>
    <w:r w:rsidRPr="007E0B7E">
      <w:rPr>
        <w:i/>
        <w:iCs/>
        <w:sz w:val="20"/>
        <w:szCs w:val="20"/>
      </w:rPr>
      <w:t>AERA Open</w:t>
    </w:r>
    <w:r w:rsidRPr="007E0B7E">
      <w:rPr>
        <w:sz w:val="20"/>
        <w:szCs w:val="20"/>
      </w:rPr>
      <w:t xml:space="preserve">, </w:t>
    </w:r>
    <w:r w:rsidRPr="007E0B7E">
      <w:rPr>
        <w:i/>
        <w:iCs/>
        <w:sz w:val="20"/>
        <w:szCs w:val="20"/>
      </w:rPr>
      <w:t>11</w:t>
    </w:r>
    <w:r w:rsidRPr="007E0B7E">
      <w:rPr>
        <w:sz w:val="20"/>
        <w:szCs w:val="20"/>
      </w:rPr>
      <w:t xml:space="preserve">. </w:t>
    </w:r>
    <w:hyperlink r:id="rId1" w:history="1">
      <w:r w:rsidRPr="007E0B7E">
        <w:rPr>
          <w:rStyle w:val="Hyperlink"/>
          <w:rFonts w:eastAsiaTheme="majorEastAsia"/>
          <w:sz w:val="20"/>
          <w:szCs w:val="20"/>
        </w:rPr>
        <w:t>https://doi.org/10.1177/23328584251338155</w:t>
      </w:r>
    </w:hyperlink>
    <w:r w:rsidRPr="007E0B7E">
      <w:rPr>
        <w:sz w:val="20"/>
        <w:szCs w:val="20"/>
      </w:rPr>
      <w:t xml:space="preserve"> (Original work published 2025)</w:t>
    </w:r>
  </w:p>
  <w:p w14:paraId="1CB598DA" w14:textId="12F5183A" w:rsidR="00FD3097" w:rsidRPr="00647911" w:rsidRDefault="00FD3097">
    <w:pPr>
      <w:pStyle w:val="Footer"/>
      <w:rPr>
        <w:vertAlign w:val="superscri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A71AE" w14:textId="77777777" w:rsidR="007C2215" w:rsidRDefault="007C2215" w:rsidP="005C7A2A">
      <w:r>
        <w:separator/>
      </w:r>
    </w:p>
  </w:footnote>
  <w:footnote w:type="continuationSeparator" w:id="0">
    <w:p w14:paraId="7BB88E1D" w14:textId="77777777" w:rsidR="007C2215" w:rsidRDefault="007C2215" w:rsidP="005C7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CA"/>
    <w:rsid w:val="00000E34"/>
    <w:rsid w:val="00003E80"/>
    <w:rsid w:val="00014EDA"/>
    <w:rsid w:val="00017BEA"/>
    <w:rsid w:val="00021634"/>
    <w:rsid w:val="0002502F"/>
    <w:rsid w:val="00025CC8"/>
    <w:rsid w:val="0003470F"/>
    <w:rsid w:val="00035777"/>
    <w:rsid w:val="00037FF2"/>
    <w:rsid w:val="00043AA8"/>
    <w:rsid w:val="000508F3"/>
    <w:rsid w:val="000511D9"/>
    <w:rsid w:val="000578E9"/>
    <w:rsid w:val="00061B3A"/>
    <w:rsid w:val="00066A5A"/>
    <w:rsid w:val="00070E76"/>
    <w:rsid w:val="00071035"/>
    <w:rsid w:val="0007308C"/>
    <w:rsid w:val="000771BC"/>
    <w:rsid w:val="00077A05"/>
    <w:rsid w:val="00083AF0"/>
    <w:rsid w:val="0009181C"/>
    <w:rsid w:val="000949FD"/>
    <w:rsid w:val="000A55E8"/>
    <w:rsid w:val="000B3E90"/>
    <w:rsid w:val="000C5177"/>
    <w:rsid w:val="000D1935"/>
    <w:rsid w:val="000E1AB6"/>
    <w:rsid w:val="000E50EB"/>
    <w:rsid w:val="000E6D7A"/>
    <w:rsid w:val="000F38B5"/>
    <w:rsid w:val="000F5EDA"/>
    <w:rsid w:val="000F6E09"/>
    <w:rsid w:val="000F7D64"/>
    <w:rsid w:val="001036EE"/>
    <w:rsid w:val="00113879"/>
    <w:rsid w:val="00115EAB"/>
    <w:rsid w:val="00124ADB"/>
    <w:rsid w:val="00126C23"/>
    <w:rsid w:val="00127B1F"/>
    <w:rsid w:val="00137B70"/>
    <w:rsid w:val="00141286"/>
    <w:rsid w:val="00151F00"/>
    <w:rsid w:val="00173A01"/>
    <w:rsid w:val="001755F9"/>
    <w:rsid w:val="00186350"/>
    <w:rsid w:val="00191AC3"/>
    <w:rsid w:val="00194C53"/>
    <w:rsid w:val="001A1BA2"/>
    <w:rsid w:val="001A292A"/>
    <w:rsid w:val="001A3F17"/>
    <w:rsid w:val="001A4412"/>
    <w:rsid w:val="001A552E"/>
    <w:rsid w:val="001B5D15"/>
    <w:rsid w:val="001C3BFE"/>
    <w:rsid w:val="001D4D5A"/>
    <w:rsid w:val="001F37D8"/>
    <w:rsid w:val="001F3F53"/>
    <w:rsid w:val="00200112"/>
    <w:rsid w:val="00210C20"/>
    <w:rsid w:val="00211DA6"/>
    <w:rsid w:val="00216D57"/>
    <w:rsid w:val="0022040E"/>
    <w:rsid w:val="0022071F"/>
    <w:rsid w:val="0023393A"/>
    <w:rsid w:val="002342B2"/>
    <w:rsid w:val="00236177"/>
    <w:rsid w:val="00244266"/>
    <w:rsid w:val="00244484"/>
    <w:rsid w:val="002446D2"/>
    <w:rsid w:val="002455A2"/>
    <w:rsid w:val="0024571C"/>
    <w:rsid w:val="00252E9A"/>
    <w:rsid w:val="00260722"/>
    <w:rsid w:val="00270ABD"/>
    <w:rsid w:val="00272763"/>
    <w:rsid w:val="0027694D"/>
    <w:rsid w:val="002804DD"/>
    <w:rsid w:val="00280875"/>
    <w:rsid w:val="00286622"/>
    <w:rsid w:val="002907A0"/>
    <w:rsid w:val="00293D26"/>
    <w:rsid w:val="002A0F30"/>
    <w:rsid w:val="002A2A75"/>
    <w:rsid w:val="002A2DEA"/>
    <w:rsid w:val="002A504D"/>
    <w:rsid w:val="002B1BFA"/>
    <w:rsid w:val="002C2990"/>
    <w:rsid w:val="002C39A1"/>
    <w:rsid w:val="002C49B7"/>
    <w:rsid w:val="002D25EE"/>
    <w:rsid w:val="002D2F47"/>
    <w:rsid w:val="002E2B13"/>
    <w:rsid w:val="002F3B86"/>
    <w:rsid w:val="00323E87"/>
    <w:rsid w:val="00336E38"/>
    <w:rsid w:val="00336F1F"/>
    <w:rsid w:val="00342E49"/>
    <w:rsid w:val="0034536D"/>
    <w:rsid w:val="00346536"/>
    <w:rsid w:val="00347C66"/>
    <w:rsid w:val="00356347"/>
    <w:rsid w:val="00360917"/>
    <w:rsid w:val="00362129"/>
    <w:rsid w:val="00366694"/>
    <w:rsid w:val="00374D7F"/>
    <w:rsid w:val="00386C07"/>
    <w:rsid w:val="00386EE0"/>
    <w:rsid w:val="00387236"/>
    <w:rsid w:val="003A042C"/>
    <w:rsid w:val="003A0703"/>
    <w:rsid w:val="003A0C5B"/>
    <w:rsid w:val="003A7B72"/>
    <w:rsid w:val="003B2620"/>
    <w:rsid w:val="003B3B87"/>
    <w:rsid w:val="003C0280"/>
    <w:rsid w:val="003E3025"/>
    <w:rsid w:val="003E3720"/>
    <w:rsid w:val="003F07D9"/>
    <w:rsid w:val="003F2B7B"/>
    <w:rsid w:val="00401AE8"/>
    <w:rsid w:val="00404A46"/>
    <w:rsid w:val="00411641"/>
    <w:rsid w:val="004160CF"/>
    <w:rsid w:val="00416A17"/>
    <w:rsid w:val="004318CE"/>
    <w:rsid w:val="00434906"/>
    <w:rsid w:val="00434C8C"/>
    <w:rsid w:val="0044260E"/>
    <w:rsid w:val="0044299A"/>
    <w:rsid w:val="00443B49"/>
    <w:rsid w:val="00445FE8"/>
    <w:rsid w:val="0044632D"/>
    <w:rsid w:val="004479C5"/>
    <w:rsid w:val="00456E32"/>
    <w:rsid w:val="0046078E"/>
    <w:rsid w:val="004637B4"/>
    <w:rsid w:val="00466D81"/>
    <w:rsid w:val="00475A4D"/>
    <w:rsid w:val="0048634E"/>
    <w:rsid w:val="00493A11"/>
    <w:rsid w:val="004A4A8C"/>
    <w:rsid w:val="004C16C8"/>
    <w:rsid w:val="004C6082"/>
    <w:rsid w:val="004D3B8E"/>
    <w:rsid w:val="004F065F"/>
    <w:rsid w:val="004F279E"/>
    <w:rsid w:val="00505B53"/>
    <w:rsid w:val="00535B0D"/>
    <w:rsid w:val="00543FA3"/>
    <w:rsid w:val="005575CD"/>
    <w:rsid w:val="00567191"/>
    <w:rsid w:val="005677EE"/>
    <w:rsid w:val="00574326"/>
    <w:rsid w:val="00577E9A"/>
    <w:rsid w:val="00584B74"/>
    <w:rsid w:val="00584BF2"/>
    <w:rsid w:val="005913D7"/>
    <w:rsid w:val="005932DC"/>
    <w:rsid w:val="005939D1"/>
    <w:rsid w:val="005968FA"/>
    <w:rsid w:val="005A08FC"/>
    <w:rsid w:val="005C13C1"/>
    <w:rsid w:val="005C239E"/>
    <w:rsid w:val="005C29B5"/>
    <w:rsid w:val="005C3149"/>
    <w:rsid w:val="005C42D5"/>
    <w:rsid w:val="005C471C"/>
    <w:rsid w:val="005C4D27"/>
    <w:rsid w:val="005C7A2A"/>
    <w:rsid w:val="005D1666"/>
    <w:rsid w:val="005D22C2"/>
    <w:rsid w:val="005E1965"/>
    <w:rsid w:val="005E60EC"/>
    <w:rsid w:val="00600173"/>
    <w:rsid w:val="00600D02"/>
    <w:rsid w:val="00601CDC"/>
    <w:rsid w:val="006202E4"/>
    <w:rsid w:val="00622855"/>
    <w:rsid w:val="0063100A"/>
    <w:rsid w:val="00633AA3"/>
    <w:rsid w:val="006404C8"/>
    <w:rsid w:val="006455F3"/>
    <w:rsid w:val="00646928"/>
    <w:rsid w:val="00646962"/>
    <w:rsid w:val="0064712B"/>
    <w:rsid w:val="00647911"/>
    <w:rsid w:val="0065190C"/>
    <w:rsid w:val="0065313E"/>
    <w:rsid w:val="00653593"/>
    <w:rsid w:val="00653A7A"/>
    <w:rsid w:val="00656931"/>
    <w:rsid w:val="00662049"/>
    <w:rsid w:val="00664679"/>
    <w:rsid w:val="00664800"/>
    <w:rsid w:val="00671967"/>
    <w:rsid w:val="006747D7"/>
    <w:rsid w:val="00681365"/>
    <w:rsid w:val="00681F8B"/>
    <w:rsid w:val="00687C64"/>
    <w:rsid w:val="006974AD"/>
    <w:rsid w:val="006A3B5D"/>
    <w:rsid w:val="006A3D38"/>
    <w:rsid w:val="006A549C"/>
    <w:rsid w:val="006B3169"/>
    <w:rsid w:val="006B3386"/>
    <w:rsid w:val="006C446B"/>
    <w:rsid w:val="006D30D4"/>
    <w:rsid w:val="006E3C41"/>
    <w:rsid w:val="006F464A"/>
    <w:rsid w:val="006F5030"/>
    <w:rsid w:val="0070362F"/>
    <w:rsid w:val="007062E5"/>
    <w:rsid w:val="00706AF2"/>
    <w:rsid w:val="00707FF8"/>
    <w:rsid w:val="007235E5"/>
    <w:rsid w:val="00727506"/>
    <w:rsid w:val="00732598"/>
    <w:rsid w:val="00732B80"/>
    <w:rsid w:val="00741322"/>
    <w:rsid w:val="00752DF5"/>
    <w:rsid w:val="00752F14"/>
    <w:rsid w:val="00753302"/>
    <w:rsid w:val="007544C2"/>
    <w:rsid w:val="007619AE"/>
    <w:rsid w:val="00763740"/>
    <w:rsid w:val="00764852"/>
    <w:rsid w:val="007804E1"/>
    <w:rsid w:val="00784EC1"/>
    <w:rsid w:val="0079424F"/>
    <w:rsid w:val="00794AAA"/>
    <w:rsid w:val="00795C55"/>
    <w:rsid w:val="007A34CC"/>
    <w:rsid w:val="007A5506"/>
    <w:rsid w:val="007A6155"/>
    <w:rsid w:val="007A6948"/>
    <w:rsid w:val="007A6FAA"/>
    <w:rsid w:val="007B0974"/>
    <w:rsid w:val="007B14D7"/>
    <w:rsid w:val="007B3301"/>
    <w:rsid w:val="007B5660"/>
    <w:rsid w:val="007B59F0"/>
    <w:rsid w:val="007C2215"/>
    <w:rsid w:val="007C738E"/>
    <w:rsid w:val="007D028A"/>
    <w:rsid w:val="007D0FCB"/>
    <w:rsid w:val="007D3A35"/>
    <w:rsid w:val="007D4684"/>
    <w:rsid w:val="007D4E0C"/>
    <w:rsid w:val="007D5C67"/>
    <w:rsid w:val="007D68A1"/>
    <w:rsid w:val="007E0B7E"/>
    <w:rsid w:val="007E4300"/>
    <w:rsid w:val="007E5562"/>
    <w:rsid w:val="007E60AA"/>
    <w:rsid w:val="007E7E7F"/>
    <w:rsid w:val="0080083B"/>
    <w:rsid w:val="00807269"/>
    <w:rsid w:val="00810882"/>
    <w:rsid w:val="00811629"/>
    <w:rsid w:val="0081540A"/>
    <w:rsid w:val="00820225"/>
    <w:rsid w:val="008222E1"/>
    <w:rsid w:val="00841992"/>
    <w:rsid w:val="00842313"/>
    <w:rsid w:val="008427B6"/>
    <w:rsid w:val="00843F09"/>
    <w:rsid w:val="00845D9C"/>
    <w:rsid w:val="0084645D"/>
    <w:rsid w:val="00846C4B"/>
    <w:rsid w:val="008476D0"/>
    <w:rsid w:val="008523F3"/>
    <w:rsid w:val="008554B1"/>
    <w:rsid w:val="00856261"/>
    <w:rsid w:val="00863693"/>
    <w:rsid w:val="008741D5"/>
    <w:rsid w:val="008766F6"/>
    <w:rsid w:val="00881786"/>
    <w:rsid w:val="008A01FE"/>
    <w:rsid w:val="008B6AD9"/>
    <w:rsid w:val="008C6D23"/>
    <w:rsid w:val="008D11D2"/>
    <w:rsid w:val="008D4964"/>
    <w:rsid w:val="008F1535"/>
    <w:rsid w:val="008F6A85"/>
    <w:rsid w:val="00903AFC"/>
    <w:rsid w:val="00903FC4"/>
    <w:rsid w:val="009049B4"/>
    <w:rsid w:val="0091704D"/>
    <w:rsid w:val="00925F85"/>
    <w:rsid w:val="00944C1B"/>
    <w:rsid w:val="0095023A"/>
    <w:rsid w:val="00961B38"/>
    <w:rsid w:val="00962E1D"/>
    <w:rsid w:val="00967432"/>
    <w:rsid w:val="009726F8"/>
    <w:rsid w:val="009735ED"/>
    <w:rsid w:val="0097436B"/>
    <w:rsid w:val="009868FD"/>
    <w:rsid w:val="009A6E23"/>
    <w:rsid w:val="009B286B"/>
    <w:rsid w:val="009C440E"/>
    <w:rsid w:val="009D1C2C"/>
    <w:rsid w:val="009D5F38"/>
    <w:rsid w:val="009E6F83"/>
    <w:rsid w:val="009F3BBE"/>
    <w:rsid w:val="009F5CC4"/>
    <w:rsid w:val="009F7611"/>
    <w:rsid w:val="00A07994"/>
    <w:rsid w:val="00A1273F"/>
    <w:rsid w:val="00A14006"/>
    <w:rsid w:val="00A20DCA"/>
    <w:rsid w:val="00A2702E"/>
    <w:rsid w:val="00A341AA"/>
    <w:rsid w:val="00A460C3"/>
    <w:rsid w:val="00A5247E"/>
    <w:rsid w:val="00A549DE"/>
    <w:rsid w:val="00A60F58"/>
    <w:rsid w:val="00A63AC5"/>
    <w:rsid w:val="00A70814"/>
    <w:rsid w:val="00A87BAD"/>
    <w:rsid w:val="00A91A84"/>
    <w:rsid w:val="00A921AE"/>
    <w:rsid w:val="00A96D23"/>
    <w:rsid w:val="00A96FA2"/>
    <w:rsid w:val="00AA2259"/>
    <w:rsid w:val="00AA54CC"/>
    <w:rsid w:val="00AB59F9"/>
    <w:rsid w:val="00AD1EA0"/>
    <w:rsid w:val="00AD2922"/>
    <w:rsid w:val="00AD457E"/>
    <w:rsid w:val="00AE2551"/>
    <w:rsid w:val="00AF0795"/>
    <w:rsid w:val="00AF278C"/>
    <w:rsid w:val="00B01505"/>
    <w:rsid w:val="00B04166"/>
    <w:rsid w:val="00B103F7"/>
    <w:rsid w:val="00B1324E"/>
    <w:rsid w:val="00B143A8"/>
    <w:rsid w:val="00B15F89"/>
    <w:rsid w:val="00B22DFE"/>
    <w:rsid w:val="00B24EBF"/>
    <w:rsid w:val="00B31726"/>
    <w:rsid w:val="00B3488F"/>
    <w:rsid w:val="00B36A42"/>
    <w:rsid w:val="00B53768"/>
    <w:rsid w:val="00B5661F"/>
    <w:rsid w:val="00B576CC"/>
    <w:rsid w:val="00B60F9F"/>
    <w:rsid w:val="00B7019F"/>
    <w:rsid w:val="00B74175"/>
    <w:rsid w:val="00B936FD"/>
    <w:rsid w:val="00BA339C"/>
    <w:rsid w:val="00BA6990"/>
    <w:rsid w:val="00BB143D"/>
    <w:rsid w:val="00BB399D"/>
    <w:rsid w:val="00BB7B48"/>
    <w:rsid w:val="00BC320E"/>
    <w:rsid w:val="00BC3657"/>
    <w:rsid w:val="00BC71B2"/>
    <w:rsid w:val="00BD6E12"/>
    <w:rsid w:val="00BE4806"/>
    <w:rsid w:val="00C032F6"/>
    <w:rsid w:val="00C11008"/>
    <w:rsid w:val="00C14D30"/>
    <w:rsid w:val="00C14F93"/>
    <w:rsid w:val="00C16344"/>
    <w:rsid w:val="00C2419A"/>
    <w:rsid w:val="00C2598D"/>
    <w:rsid w:val="00C26821"/>
    <w:rsid w:val="00C319F2"/>
    <w:rsid w:val="00C3321F"/>
    <w:rsid w:val="00C37662"/>
    <w:rsid w:val="00C41EB7"/>
    <w:rsid w:val="00C53B06"/>
    <w:rsid w:val="00C63866"/>
    <w:rsid w:val="00C65DEB"/>
    <w:rsid w:val="00C708EE"/>
    <w:rsid w:val="00C75E3C"/>
    <w:rsid w:val="00C7760C"/>
    <w:rsid w:val="00C80F14"/>
    <w:rsid w:val="00C82881"/>
    <w:rsid w:val="00C83281"/>
    <w:rsid w:val="00C833CE"/>
    <w:rsid w:val="00C85750"/>
    <w:rsid w:val="00C92658"/>
    <w:rsid w:val="00C941F8"/>
    <w:rsid w:val="00C95145"/>
    <w:rsid w:val="00C95DB6"/>
    <w:rsid w:val="00CA08AF"/>
    <w:rsid w:val="00CB025C"/>
    <w:rsid w:val="00CC3178"/>
    <w:rsid w:val="00CC42A4"/>
    <w:rsid w:val="00CC574A"/>
    <w:rsid w:val="00CC58B5"/>
    <w:rsid w:val="00CC64E2"/>
    <w:rsid w:val="00CD7540"/>
    <w:rsid w:val="00D0514D"/>
    <w:rsid w:val="00D0631B"/>
    <w:rsid w:val="00D10FD4"/>
    <w:rsid w:val="00D14804"/>
    <w:rsid w:val="00D21527"/>
    <w:rsid w:val="00D260B8"/>
    <w:rsid w:val="00D36669"/>
    <w:rsid w:val="00D40654"/>
    <w:rsid w:val="00D40B46"/>
    <w:rsid w:val="00D54D8B"/>
    <w:rsid w:val="00D65A84"/>
    <w:rsid w:val="00D67A48"/>
    <w:rsid w:val="00D67AEC"/>
    <w:rsid w:val="00D77E7F"/>
    <w:rsid w:val="00D81EC0"/>
    <w:rsid w:val="00D9423F"/>
    <w:rsid w:val="00DB0E4C"/>
    <w:rsid w:val="00DB1A48"/>
    <w:rsid w:val="00DB59E1"/>
    <w:rsid w:val="00DB622F"/>
    <w:rsid w:val="00DB74F3"/>
    <w:rsid w:val="00DB7934"/>
    <w:rsid w:val="00DC1A7E"/>
    <w:rsid w:val="00DC264F"/>
    <w:rsid w:val="00DC4A21"/>
    <w:rsid w:val="00DD5405"/>
    <w:rsid w:val="00E005AF"/>
    <w:rsid w:val="00E1420B"/>
    <w:rsid w:val="00E154CE"/>
    <w:rsid w:val="00E32442"/>
    <w:rsid w:val="00E32AE1"/>
    <w:rsid w:val="00E348DC"/>
    <w:rsid w:val="00E34D37"/>
    <w:rsid w:val="00E41C63"/>
    <w:rsid w:val="00E4317D"/>
    <w:rsid w:val="00E44095"/>
    <w:rsid w:val="00E46C77"/>
    <w:rsid w:val="00E4767B"/>
    <w:rsid w:val="00E7460E"/>
    <w:rsid w:val="00E805FB"/>
    <w:rsid w:val="00E82301"/>
    <w:rsid w:val="00E910D9"/>
    <w:rsid w:val="00E92E73"/>
    <w:rsid w:val="00E9371C"/>
    <w:rsid w:val="00EA3CCE"/>
    <w:rsid w:val="00EA6D20"/>
    <w:rsid w:val="00EB79CC"/>
    <w:rsid w:val="00EC0E73"/>
    <w:rsid w:val="00EC1121"/>
    <w:rsid w:val="00EC5C48"/>
    <w:rsid w:val="00EC7661"/>
    <w:rsid w:val="00ED3001"/>
    <w:rsid w:val="00ED4DB6"/>
    <w:rsid w:val="00EE537D"/>
    <w:rsid w:val="00EE757C"/>
    <w:rsid w:val="00EF3F2D"/>
    <w:rsid w:val="00EF4416"/>
    <w:rsid w:val="00EF6734"/>
    <w:rsid w:val="00EF6A87"/>
    <w:rsid w:val="00F02532"/>
    <w:rsid w:val="00F0546B"/>
    <w:rsid w:val="00F1032C"/>
    <w:rsid w:val="00F11394"/>
    <w:rsid w:val="00F1226D"/>
    <w:rsid w:val="00F1594A"/>
    <w:rsid w:val="00F16D3B"/>
    <w:rsid w:val="00F208F9"/>
    <w:rsid w:val="00F25AD6"/>
    <w:rsid w:val="00F261E0"/>
    <w:rsid w:val="00F361A8"/>
    <w:rsid w:val="00F44C03"/>
    <w:rsid w:val="00F47216"/>
    <w:rsid w:val="00F5308C"/>
    <w:rsid w:val="00F6012F"/>
    <w:rsid w:val="00F61AA2"/>
    <w:rsid w:val="00F63FD7"/>
    <w:rsid w:val="00F661F1"/>
    <w:rsid w:val="00F731DC"/>
    <w:rsid w:val="00F759E6"/>
    <w:rsid w:val="00F85058"/>
    <w:rsid w:val="00F87566"/>
    <w:rsid w:val="00F91155"/>
    <w:rsid w:val="00FB135F"/>
    <w:rsid w:val="00FD3097"/>
    <w:rsid w:val="00FD36FE"/>
    <w:rsid w:val="00FD7526"/>
    <w:rsid w:val="00FE1E5D"/>
    <w:rsid w:val="00FE2FFA"/>
    <w:rsid w:val="00FE321E"/>
    <w:rsid w:val="00FF25AC"/>
    <w:rsid w:val="00FF5BDE"/>
    <w:rsid w:val="00FF6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A4AA"/>
  <w15:chartTrackingRefBased/>
  <w15:docId w15:val="{1BBA61AB-64E3-4073-BA40-82184A42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66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20DC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20DC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20DC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20DC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20DC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20DC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20DC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20DC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20DC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DCA"/>
    <w:rPr>
      <w:rFonts w:eastAsiaTheme="majorEastAsia" w:cstheme="majorBidi"/>
      <w:color w:val="272727" w:themeColor="text1" w:themeTint="D8"/>
    </w:rPr>
  </w:style>
  <w:style w:type="paragraph" w:styleId="Title">
    <w:name w:val="Title"/>
    <w:basedOn w:val="Normal"/>
    <w:next w:val="Normal"/>
    <w:link w:val="TitleChar"/>
    <w:uiPriority w:val="10"/>
    <w:qFormat/>
    <w:rsid w:val="00A20DC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20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DC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20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DC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20DCA"/>
    <w:rPr>
      <w:i/>
      <w:iCs/>
      <w:color w:val="404040" w:themeColor="text1" w:themeTint="BF"/>
    </w:rPr>
  </w:style>
  <w:style w:type="paragraph" w:styleId="ListParagraph">
    <w:name w:val="List Paragraph"/>
    <w:basedOn w:val="Normal"/>
    <w:uiPriority w:val="34"/>
    <w:qFormat/>
    <w:rsid w:val="00A20DC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20DCA"/>
    <w:rPr>
      <w:i/>
      <w:iCs/>
      <w:color w:val="0F4761" w:themeColor="accent1" w:themeShade="BF"/>
    </w:rPr>
  </w:style>
  <w:style w:type="paragraph" w:styleId="IntenseQuote">
    <w:name w:val="Intense Quote"/>
    <w:basedOn w:val="Normal"/>
    <w:next w:val="Normal"/>
    <w:link w:val="IntenseQuoteChar"/>
    <w:uiPriority w:val="30"/>
    <w:qFormat/>
    <w:rsid w:val="00A20DC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20DCA"/>
    <w:rPr>
      <w:i/>
      <w:iCs/>
      <w:color w:val="0F4761" w:themeColor="accent1" w:themeShade="BF"/>
    </w:rPr>
  </w:style>
  <w:style w:type="character" w:styleId="IntenseReference">
    <w:name w:val="Intense Reference"/>
    <w:basedOn w:val="DefaultParagraphFont"/>
    <w:uiPriority w:val="32"/>
    <w:qFormat/>
    <w:rsid w:val="00A20DCA"/>
    <w:rPr>
      <w:b/>
      <w:bCs/>
      <w:smallCaps/>
      <w:color w:val="0F4761" w:themeColor="accent1" w:themeShade="BF"/>
      <w:spacing w:val="5"/>
    </w:rPr>
  </w:style>
  <w:style w:type="table" w:styleId="GridTable3-Accent6">
    <w:name w:val="Grid Table 3 Accent 6"/>
    <w:basedOn w:val="TableNormal"/>
    <w:uiPriority w:val="48"/>
    <w:rsid w:val="00DC264F"/>
    <w:pPr>
      <w:spacing w:after="0" w:line="240" w:lineRule="auto"/>
    </w:pPr>
    <w:rPr>
      <w:sz w:val="22"/>
      <w:szCs w:val="22"/>
    </w:rPr>
    <w:tblPr>
      <w:tblStyleRowBandSize w:val="1"/>
      <w:tblStyleColBandSize w:val="1"/>
      <w:tblInd w:w="0" w:type="nil"/>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eGrid">
    <w:name w:val="Table Grid"/>
    <w:basedOn w:val="TableNormal"/>
    <w:uiPriority w:val="39"/>
    <w:rsid w:val="00050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29B5"/>
    <w:pPr>
      <w:spacing w:after="0" w:line="240" w:lineRule="auto"/>
    </w:pPr>
  </w:style>
  <w:style w:type="character" w:styleId="CommentReference">
    <w:name w:val="annotation reference"/>
    <w:basedOn w:val="DefaultParagraphFont"/>
    <w:uiPriority w:val="99"/>
    <w:semiHidden/>
    <w:unhideWhenUsed/>
    <w:rsid w:val="00BB143D"/>
    <w:rPr>
      <w:sz w:val="16"/>
      <w:szCs w:val="16"/>
    </w:rPr>
  </w:style>
  <w:style w:type="paragraph" w:styleId="CommentText">
    <w:name w:val="annotation text"/>
    <w:basedOn w:val="Normal"/>
    <w:link w:val="CommentTextChar"/>
    <w:uiPriority w:val="99"/>
    <w:unhideWhenUsed/>
    <w:rsid w:val="00BB143D"/>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BB143D"/>
    <w:rPr>
      <w:sz w:val="20"/>
      <w:szCs w:val="20"/>
    </w:rPr>
  </w:style>
  <w:style w:type="paragraph" w:styleId="CommentSubject">
    <w:name w:val="annotation subject"/>
    <w:basedOn w:val="CommentText"/>
    <w:next w:val="CommentText"/>
    <w:link w:val="CommentSubjectChar"/>
    <w:uiPriority w:val="99"/>
    <w:semiHidden/>
    <w:unhideWhenUsed/>
    <w:rsid w:val="00BB143D"/>
    <w:rPr>
      <w:b/>
      <w:bCs/>
    </w:rPr>
  </w:style>
  <w:style w:type="character" w:customStyle="1" w:styleId="CommentSubjectChar">
    <w:name w:val="Comment Subject Char"/>
    <w:basedOn w:val="CommentTextChar"/>
    <w:link w:val="CommentSubject"/>
    <w:uiPriority w:val="99"/>
    <w:semiHidden/>
    <w:rsid w:val="00BB143D"/>
    <w:rPr>
      <w:b/>
      <w:bCs/>
      <w:sz w:val="20"/>
      <w:szCs w:val="20"/>
    </w:rPr>
  </w:style>
  <w:style w:type="paragraph" w:styleId="Header">
    <w:name w:val="header"/>
    <w:basedOn w:val="Normal"/>
    <w:link w:val="HeaderChar"/>
    <w:uiPriority w:val="99"/>
    <w:unhideWhenUsed/>
    <w:rsid w:val="005C7A2A"/>
    <w:pPr>
      <w:tabs>
        <w:tab w:val="center" w:pos="4680"/>
        <w:tab w:val="right" w:pos="9360"/>
      </w:tabs>
    </w:pPr>
  </w:style>
  <w:style w:type="character" w:customStyle="1" w:styleId="HeaderChar">
    <w:name w:val="Header Char"/>
    <w:basedOn w:val="DefaultParagraphFont"/>
    <w:link w:val="Header"/>
    <w:uiPriority w:val="99"/>
    <w:rsid w:val="005C7A2A"/>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5C7A2A"/>
    <w:pPr>
      <w:tabs>
        <w:tab w:val="center" w:pos="4680"/>
        <w:tab w:val="right" w:pos="9360"/>
      </w:tabs>
    </w:pPr>
  </w:style>
  <w:style w:type="character" w:customStyle="1" w:styleId="FooterChar">
    <w:name w:val="Footer Char"/>
    <w:basedOn w:val="DefaultParagraphFont"/>
    <w:link w:val="Footer"/>
    <w:uiPriority w:val="99"/>
    <w:rsid w:val="005C7A2A"/>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6479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7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oi.org/10.1177/233285842513381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7</Pages>
  <Words>3521</Words>
  <Characters>20074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 Ford</dc:creator>
  <cp:keywords/>
  <dc:description/>
  <cp:lastModifiedBy>Debbie Sharp</cp:lastModifiedBy>
  <cp:revision>8</cp:revision>
  <cp:lastPrinted>2026-01-16T16:17:00Z</cp:lastPrinted>
  <dcterms:created xsi:type="dcterms:W3CDTF">2026-01-10T21:07:00Z</dcterms:created>
  <dcterms:modified xsi:type="dcterms:W3CDTF">2026-01-16T16:21:00Z</dcterms:modified>
</cp:coreProperties>
</file>